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25E9B" w:rsidRPr="00F25E9B" w:rsidRDefault="00F25E9B" w:rsidP="00F25E9B">
      <w:pPr>
        <w:spacing w:line="360" w:lineRule="auto"/>
        <w:ind w:firstLineChars="0" w:firstLine="0"/>
        <w:jc w:val="center"/>
        <w:rPr>
          <w:rFonts w:cs="Times New Roman"/>
          <w:color w:val="0F1115"/>
          <w:sz w:val="24"/>
          <w:szCs w:val="24"/>
          <w:shd w:val="clear" w:color="auto" w:fill="FFFFFF"/>
        </w:rPr>
      </w:pPr>
      <w:bookmarkStart w:id="0" w:name="OLE_LINK6"/>
      <w:r w:rsidRPr="00F25E9B">
        <w:rPr>
          <w:rFonts w:cs="Times New Roman"/>
          <w:color w:val="0F1115"/>
          <w:sz w:val="24"/>
          <w:szCs w:val="24"/>
          <w:shd w:val="clear" w:color="auto" w:fill="FFFFFF"/>
        </w:rPr>
        <w:t>Unraveling the role of far UVC and UV/DCC pretreatment in mitigating volatile DBPs from DOM during water disinfection: Insights from non-targeted high-resolution mass spectrometry and interpretable machine learning</w:t>
      </w:r>
    </w:p>
    <w:p w:rsidR="00AE0CA3" w:rsidRPr="00AE0CA3" w:rsidRDefault="00AE0CA3" w:rsidP="00AE0CA3">
      <w:pPr>
        <w:ind w:firstLineChars="0" w:firstLine="0"/>
        <w:jc w:val="center"/>
        <w:rPr>
          <w:rFonts w:cs="Times New Roman" w:hint="eastAsia"/>
          <w:szCs w:val="21"/>
        </w:rPr>
      </w:pPr>
      <w:r w:rsidRPr="00790664">
        <w:rPr>
          <w:rFonts w:cs="Times New Roman"/>
          <w:szCs w:val="21"/>
        </w:rPr>
        <w:t>Qiyuan Sun</w:t>
      </w:r>
      <w:r w:rsidRPr="00790664">
        <w:rPr>
          <w:rFonts w:cs="Times New Roman"/>
          <w:szCs w:val="21"/>
          <w:vertAlign w:val="superscript"/>
        </w:rPr>
        <w:t>a,</w:t>
      </w:r>
      <w:r w:rsidRPr="00790664">
        <w:rPr>
          <w:rFonts w:cs="Times New Roman"/>
          <w:szCs w:val="21"/>
          <w:vertAlign w:val="superscript"/>
        </w:rPr>
        <w:t xml:space="preserve"> </w:t>
      </w:r>
      <w:r w:rsidRPr="00790664">
        <w:rPr>
          <w:rFonts w:cs="Times New Roman"/>
          <w:szCs w:val="21"/>
          <w:vertAlign w:val="superscript"/>
        </w:rPr>
        <w:t>*</w:t>
      </w:r>
    </w:p>
    <w:p w:rsidR="00AE0CA3" w:rsidRPr="00AE0CA3" w:rsidRDefault="00AE0CA3" w:rsidP="00AE0CA3">
      <w:pPr>
        <w:snapToGrid w:val="0"/>
        <w:ind w:firstLineChars="0" w:firstLine="0"/>
        <w:rPr>
          <w:rFonts w:cs="Times New Roman" w:hint="eastAsia"/>
          <w:szCs w:val="21"/>
        </w:rPr>
      </w:pPr>
      <w:r w:rsidRPr="00790664">
        <w:rPr>
          <w:rFonts w:cs="Times New Roman"/>
          <w:szCs w:val="21"/>
        </w:rPr>
        <w:t>a</w:t>
      </w:r>
      <w:r w:rsidRPr="00790664">
        <w:rPr>
          <w:rFonts w:cs="Times New Roman" w:hint="eastAsia"/>
          <w:szCs w:val="21"/>
        </w:rPr>
        <w:t>.</w:t>
      </w:r>
      <w:r w:rsidRPr="00790664">
        <w:rPr>
          <w:rFonts w:cs="Times New Roman"/>
          <w:szCs w:val="21"/>
        </w:rPr>
        <w:t xml:space="preserve"> College of Environmental and Resource Sciences, Fujian Normal University, Fuzhou, Fujian 350117, China</w:t>
      </w:r>
      <w:bookmarkEnd w:id="0"/>
    </w:p>
    <w:p w:rsidR="00AE0CA3" w:rsidRPr="00790664" w:rsidRDefault="00AE0CA3" w:rsidP="002312D7">
      <w:pPr>
        <w:pStyle w:val="1"/>
        <w:spacing w:beforeLines="0" w:before="0" w:after="62" w:line="360" w:lineRule="auto"/>
        <w:rPr>
          <w:rFonts w:eastAsia="宋体"/>
          <w:szCs w:val="28"/>
        </w:rPr>
      </w:pPr>
      <w:r w:rsidRPr="00790664">
        <w:rPr>
          <w:rFonts w:eastAsia="宋体" w:hint="eastAsia"/>
          <w:szCs w:val="28"/>
        </w:rPr>
        <w:t>Abstract</w:t>
      </w:r>
    </w:p>
    <w:p w:rsidR="00431893" w:rsidRPr="002312D7" w:rsidRDefault="00AE0CA3" w:rsidP="002312D7">
      <w:pPr>
        <w:spacing w:afterLines="50" w:after="156" w:line="360" w:lineRule="auto"/>
        <w:ind w:firstLineChars="0" w:firstLine="0"/>
        <w:rPr>
          <w:szCs w:val="21"/>
        </w:rPr>
      </w:pPr>
      <w:r w:rsidRPr="002312D7">
        <w:rPr>
          <w:rFonts w:hint="eastAsia"/>
          <w:szCs w:val="21"/>
        </w:rPr>
        <w:t xml:space="preserve">Ultraviolet (UV) </w:t>
      </w:r>
      <w:r w:rsidR="00015EE2" w:rsidRPr="002312D7">
        <w:rPr>
          <w:rFonts w:hint="eastAsia"/>
          <w:szCs w:val="21"/>
        </w:rPr>
        <w:t>based</w:t>
      </w:r>
      <w:r w:rsidRPr="002312D7">
        <w:rPr>
          <w:rFonts w:hint="eastAsia"/>
          <w:szCs w:val="21"/>
        </w:rPr>
        <w:t xml:space="preserve"> </w:t>
      </w:r>
      <w:r w:rsidR="00015EE2" w:rsidRPr="002312D7">
        <w:rPr>
          <w:szCs w:val="21"/>
        </w:rPr>
        <w:t>pretreatment and disinfection process</w:t>
      </w:r>
      <w:r w:rsidRPr="002312D7">
        <w:rPr>
          <w:rFonts w:hint="eastAsia"/>
          <w:szCs w:val="21"/>
        </w:rPr>
        <w:t xml:space="preserve"> would change the molecular components of dissolved organic matter (DOM) in raw water, thereby altering the generation </w:t>
      </w:r>
      <w:r w:rsidRPr="002312D7">
        <w:rPr>
          <w:szCs w:val="21"/>
        </w:rPr>
        <w:t>potential</w:t>
      </w:r>
      <w:r w:rsidRPr="002312D7">
        <w:rPr>
          <w:rFonts w:hint="eastAsia"/>
          <w:szCs w:val="21"/>
        </w:rPr>
        <w:t xml:space="preserve"> of disinfection byproducts (DBPs) in drinking water treatment. This study investigated the effect of four representative wavelengths </w:t>
      </w:r>
      <w:r w:rsidRPr="002312D7">
        <w:rPr>
          <w:szCs w:val="21"/>
        </w:rPr>
        <w:t xml:space="preserve">of </w:t>
      </w:r>
      <w:r w:rsidRPr="002312D7">
        <w:rPr>
          <w:rFonts w:hint="eastAsia"/>
          <w:szCs w:val="21"/>
        </w:rPr>
        <w:t xml:space="preserve">UV irradiation (including far UVC) </w:t>
      </w:r>
      <w:r w:rsidR="00015EE2" w:rsidRPr="002312D7">
        <w:rPr>
          <w:szCs w:val="21"/>
        </w:rPr>
        <w:t xml:space="preserve">and UV/DCC process </w:t>
      </w:r>
      <w:r w:rsidRPr="002312D7">
        <w:rPr>
          <w:rFonts w:hint="eastAsia"/>
          <w:szCs w:val="21"/>
        </w:rPr>
        <w:t xml:space="preserve">on DOM components </w:t>
      </w:r>
      <w:r w:rsidRPr="002312D7">
        <w:rPr>
          <w:szCs w:val="21"/>
        </w:rPr>
        <w:t>transformation</w:t>
      </w:r>
      <w:r w:rsidRPr="002312D7">
        <w:rPr>
          <w:rFonts w:hint="eastAsia"/>
          <w:szCs w:val="21"/>
        </w:rPr>
        <w:t xml:space="preserve"> and DBPs generation in real surface water through </w:t>
      </w:r>
      <w:r w:rsidRPr="002312D7">
        <w:rPr>
          <w:szCs w:val="21"/>
        </w:rPr>
        <w:t>Fourier transform-ion cyclotron resonance mass spectroscopy (FT-ICR</w:t>
      </w:r>
      <w:r w:rsidRPr="002312D7">
        <w:rPr>
          <w:rFonts w:hint="eastAsia"/>
          <w:szCs w:val="21"/>
        </w:rPr>
        <w:t xml:space="preserve"> </w:t>
      </w:r>
      <w:r w:rsidRPr="002312D7">
        <w:rPr>
          <w:szCs w:val="21"/>
        </w:rPr>
        <w:t>MS)</w:t>
      </w:r>
      <w:r w:rsidRPr="002312D7">
        <w:rPr>
          <w:rFonts w:hint="eastAsia"/>
          <w:szCs w:val="21"/>
        </w:rPr>
        <w:t xml:space="preserve"> combined with interpretable machine learning. The results demonstrated that all the four types of UV </w:t>
      </w:r>
      <w:r w:rsidRPr="002312D7">
        <w:rPr>
          <w:szCs w:val="21"/>
        </w:rPr>
        <w:t>irradiation</w:t>
      </w:r>
      <w:r w:rsidRPr="002312D7">
        <w:rPr>
          <w:rFonts w:hint="eastAsia"/>
          <w:szCs w:val="21"/>
        </w:rPr>
        <w:t xml:space="preserve"> promoted DOM transforming from high molecular weight (MW) and </w:t>
      </w:r>
      <w:r w:rsidRPr="002312D7">
        <w:rPr>
          <w:szCs w:val="21"/>
        </w:rPr>
        <w:t>aromatic</w:t>
      </w:r>
      <w:r w:rsidRPr="002312D7">
        <w:rPr>
          <w:rFonts w:hint="eastAsia"/>
          <w:szCs w:val="21"/>
        </w:rPr>
        <w:t xml:space="preserve"> components</w:t>
      </w:r>
      <w:r w:rsidRPr="002312D7">
        <w:rPr>
          <w:szCs w:val="21"/>
        </w:rPr>
        <w:t xml:space="preserve"> </w:t>
      </w:r>
      <w:r w:rsidRPr="002312D7">
        <w:rPr>
          <w:rFonts w:hint="eastAsia"/>
          <w:szCs w:val="21"/>
        </w:rPr>
        <w:t xml:space="preserve">to low MW and saturated one, which </w:t>
      </w:r>
      <w:r w:rsidRPr="002312D7">
        <w:rPr>
          <w:szCs w:val="21"/>
        </w:rPr>
        <w:t>easily react</w:t>
      </w:r>
      <w:r w:rsidRPr="002312D7">
        <w:rPr>
          <w:rFonts w:hint="eastAsia"/>
          <w:szCs w:val="21"/>
        </w:rPr>
        <w:t>ed</w:t>
      </w:r>
      <w:r w:rsidRPr="002312D7">
        <w:rPr>
          <w:szCs w:val="21"/>
        </w:rPr>
        <w:t xml:space="preserve"> with bromide ions and free chlorine to generate bromine-chlorine mixed DBPs</w:t>
      </w:r>
      <w:r w:rsidRPr="002312D7">
        <w:rPr>
          <w:rFonts w:hint="eastAsia"/>
          <w:szCs w:val="21"/>
        </w:rPr>
        <w:t xml:space="preserve">. </w:t>
      </w:r>
      <w:r w:rsidRPr="002312D7">
        <w:rPr>
          <w:szCs w:val="21"/>
        </w:rPr>
        <w:t>Notably</w:t>
      </w:r>
      <w:r w:rsidRPr="002312D7">
        <w:rPr>
          <w:rFonts w:hint="eastAsia"/>
          <w:szCs w:val="21"/>
        </w:rPr>
        <w:t>, UV</w:t>
      </w:r>
      <w:r w:rsidRPr="002312D7">
        <w:rPr>
          <w:rFonts w:hint="eastAsia"/>
          <w:szCs w:val="21"/>
          <w:vertAlign w:val="subscript"/>
        </w:rPr>
        <w:t>222</w:t>
      </w:r>
      <w:r w:rsidRPr="002312D7">
        <w:rPr>
          <w:rFonts w:hint="eastAsia"/>
          <w:szCs w:val="21"/>
        </w:rPr>
        <w:t xml:space="preserve"> and UV</w:t>
      </w:r>
      <w:r w:rsidRPr="002312D7">
        <w:rPr>
          <w:rFonts w:hint="eastAsia"/>
          <w:szCs w:val="21"/>
          <w:vertAlign w:val="subscript"/>
        </w:rPr>
        <w:t>254</w:t>
      </w:r>
      <w:r w:rsidRPr="002312D7">
        <w:rPr>
          <w:rFonts w:hint="eastAsia"/>
          <w:szCs w:val="21"/>
        </w:rPr>
        <w:t xml:space="preserve"> tended to decompose nitrogen- and sulfur-containing components of DOM and reduce their reaction pathways, </w:t>
      </w:r>
      <w:r w:rsidRPr="002312D7">
        <w:rPr>
          <w:szCs w:val="21"/>
        </w:rPr>
        <w:t>resulting in</w:t>
      </w:r>
      <w:r w:rsidRPr="002312D7">
        <w:rPr>
          <w:rFonts w:hint="eastAsia"/>
          <w:szCs w:val="21"/>
        </w:rPr>
        <w:t xml:space="preserve"> a lower </w:t>
      </w:r>
      <w:r w:rsidRPr="002312D7">
        <w:rPr>
          <w:szCs w:val="21"/>
        </w:rPr>
        <w:t>yield</w:t>
      </w:r>
      <w:r w:rsidRPr="002312D7">
        <w:rPr>
          <w:rFonts w:hint="eastAsia"/>
          <w:szCs w:val="21"/>
        </w:rPr>
        <w:t xml:space="preserve"> of nitrogen-containing DBPs (N-DBPs). By contrast, UV</w:t>
      </w:r>
      <w:r w:rsidRPr="002312D7">
        <w:rPr>
          <w:rFonts w:hint="eastAsia"/>
          <w:szCs w:val="21"/>
          <w:vertAlign w:val="subscript"/>
        </w:rPr>
        <w:t>310</w:t>
      </w:r>
      <w:r w:rsidRPr="002312D7">
        <w:rPr>
          <w:rFonts w:hint="eastAsia"/>
          <w:szCs w:val="21"/>
        </w:rPr>
        <w:t xml:space="preserve"> and UV</w:t>
      </w:r>
      <w:r w:rsidRPr="002312D7">
        <w:rPr>
          <w:rFonts w:hint="eastAsia"/>
          <w:szCs w:val="21"/>
          <w:vertAlign w:val="subscript"/>
        </w:rPr>
        <w:t>365</w:t>
      </w:r>
      <w:r w:rsidRPr="002312D7">
        <w:rPr>
          <w:rFonts w:hint="eastAsia"/>
          <w:szCs w:val="21"/>
        </w:rPr>
        <w:t xml:space="preserve"> </w:t>
      </w:r>
      <w:r w:rsidRPr="002312D7">
        <w:rPr>
          <w:szCs w:val="21"/>
        </w:rPr>
        <w:t>preferred</w:t>
      </w:r>
      <w:r w:rsidRPr="002312D7">
        <w:rPr>
          <w:rFonts w:hint="eastAsia"/>
          <w:szCs w:val="21"/>
        </w:rPr>
        <w:t xml:space="preserve"> to degrade DOM components with high H/C, resulting in a high dose of carbon-containing DBPs (C-DBPs). </w:t>
      </w:r>
      <w:bookmarkStart w:id="1" w:name="_Hlk181626920"/>
      <w:r w:rsidR="00015EE2" w:rsidRPr="002312D7">
        <w:rPr>
          <w:szCs w:val="21"/>
        </w:rPr>
        <w:t>Besides,</w:t>
      </w:r>
      <w:r w:rsidR="00015EE2" w:rsidRPr="002312D7">
        <w:rPr>
          <w:szCs w:val="21"/>
        </w:rPr>
        <w:t xml:space="preserve"> DOM exhibits higher aromaticity and oxidation states directly correlating with increased volatile DBPs formation potential and cytotoxicity</w:t>
      </w:r>
      <w:r w:rsidR="00015EE2" w:rsidRPr="002312D7">
        <w:rPr>
          <w:rFonts w:hint="eastAsia"/>
          <w:szCs w:val="21"/>
        </w:rPr>
        <w:t xml:space="preserve"> in UV/</w:t>
      </w:r>
      <w:r w:rsidR="00015EE2" w:rsidRPr="002312D7">
        <w:rPr>
          <w:szCs w:val="21"/>
        </w:rPr>
        <w:t>DCC process</w:t>
      </w:r>
      <w:r w:rsidR="00015EE2" w:rsidRPr="002312D7">
        <w:rPr>
          <w:szCs w:val="21"/>
        </w:rPr>
        <w:t xml:space="preserve">. Aromatic/tannin components in DOM drive carbonaceous and nitrogenous DBPs (C-DBPs and N-DBPs) formation. </w:t>
      </w:r>
      <w:proofErr w:type="spellStart"/>
      <w:r w:rsidR="00015EE2" w:rsidRPr="002312D7">
        <w:rPr>
          <w:szCs w:val="21"/>
        </w:rPr>
        <w:t>CHOCl</w:t>
      </w:r>
      <w:proofErr w:type="spellEnd"/>
      <w:r w:rsidR="00015EE2" w:rsidRPr="002312D7">
        <w:rPr>
          <w:szCs w:val="21"/>
        </w:rPr>
        <w:t xml:space="preserve"> molecules of DOM with low H/C and high unsaturated and oxygenated structures, act as key THM precursors.</w:t>
      </w:r>
    </w:p>
    <w:bookmarkEnd w:id="1"/>
    <w:p w:rsidR="00AE0CA3" w:rsidRPr="002312D7" w:rsidRDefault="00AE0CA3" w:rsidP="002312D7">
      <w:pPr>
        <w:spacing w:afterLines="50" w:after="156" w:line="360" w:lineRule="auto"/>
        <w:ind w:firstLineChars="0" w:firstLine="0"/>
        <w:rPr>
          <w:rFonts w:cs="Times New Roman"/>
          <w:color w:val="000000" w:themeColor="text1"/>
          <w:szCs w:val="21"/>
        </w:rPr>
      </w:pPr>
      <w:r w:rsidRPr="002312D7">
        <w:rPr>
          <w:rFonts w:cs="Times New Roman" w:hint="eastAsia"/>
          <w:b/>
          <w:color w:val="000000" w:themeColor="text1"/>
          <w:szCs w:val="21"/>
        </w:rPr>
        <w:t>KEYWORDS</w:t>
      </w:r>
      <w:r w:rsidRPr="002312D7">
        <w:rPr>
          <w:rFonts w:cs="Times New Roman"/>
          <w:color w:val="000000" w:themeColor="text1"/>
          <w:szCs w:val="21"/>
        </w:rPr>
        <w:t>:</w:t>
      </w:r>
      <w:r w:rsidRPr="002312D7">
        <w:rPr>
          <w:rFonts w:cs="Times New Roman" w:hint="eastAsia"/>
          <w:color w:val="000000" w:themeColor="text1"/>
          <w:szCs w:val="21"/>
        </w:rPr>
        <w:t xml:space="preserve"> Dissolved organic matter; Volatile disinfection byproducts; Far UVC; </w:t>
      </w:r>
      <w:r w:rsidR="00015EE2" w:rsidRPr="002312D7">
        <w:rPr>
          <w:rFonts w:cs="Times New Roman"/>
          <w:color w:val="000000" w:themeColor="text1"/>
          <w:szCs w:val="21"/>
        </w:rPr>
        <w:t xml:space="preserve">UV/DCC; </w:t>
      </w:r>
      <w:r w:rsidRPr="002312D7">
        <w:rPr>
          <w:rFonts w:cs="Times New Roman" w:hint="eastAsia"/>
          <w:color w:val="000000" w:themeColor="text1"/>
          <w:szCs w:val="21"/>
        </w:rPr>
        <w:t>FT-ICR MS; Machine learning</w:t>
      </w:r>
    </w:p>
    <w:p w:rsidR="00035DD0" w:rsidRPr="00AE0CA3" w:rsidRDefault="00035DD0">
      <w:pPr>
        <w:ind w:firstLine="420"/>
      </w:pPr>
    </w:p>
    <w:sectPr w:rsidR="00035DD0" w:rsidRPr="00AE0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D62"/>
    <w:rsid w:val="00015EE2"/>
    <w:rsid w:val="00035DD0"/>
    <w:rsid w:val="00050991"/>
    <w:rsid w:val="00052061"/>
    <w:rsid w:val="00053150"/>
    <w:rsid w:val="0008112D"/>
    <w:rsid w:val="000F10BB"/>
    <w:rsid w:val="001479AB"/>
    <w:rsid w:val="001950C8"/>
    <w:rsid w:val="001D1FF8"/>
    <w:rsid w:val="002051FA"/>
    <w:rsid w:val="002312D7"/>
    <w:rsid w:val="002C3A6B"/>
    <w:rsid w:val="002E0763"/>
    <w:rsid w:val="00337DC6"/>
    <w:rsid w:val="003765B3"/>
    <w:rsid w:val="00393DD1"/>
    <w:rsid w:val="00394644"/>
    <w:rsid w:val="003E1321"/>
    <w:rsid w:val="00415D1A"/>
    <w:rsid w:val="00431893"/>
    <w:rsid w:val="00437B4A"/>
    <w:rsid w:val="004459B7"/>
    <w:rsid w:val="004539E5"/>
    <w:rsid w:val="004B62A6"/>
    <w:rsid w:val="00555B08"/>
    <w:rsid w:val="00585D4E"/>
    <w:rsid w:val="00642CCE"/>
    <w:rsid w:val="00650F4A"/>
    <w:rsid w:val="006B6BAD"/>
    <w:rsid w:val="006C54D7"/>
    <w:rsid w:val="006D591C"/>
    <w:rsid w:val="007B332B"/>
    <w:rsid w:val="008C1591"/>
    <w:rsid w:val="008C721A"/>
    <w:rsid w:val="00917D62"/>
    <w:rsid w:val="00964A32"/>
    <w:rsid w:val="00970F3D"/>
    <w:rsid w:val="009A3738"/>
    <w:rsid w:val="00A43013"/>
    <w:rsid w:val="00AE0991"/>
    <w:rsid w:val="00AE0CA3"/>
    <w:rsid w:val="00AE589E"/>
    <w:rsid w:val="00B467D9"/>
    <w:rsid w:val="00B546C5"/>
    <w:rsid w:val="00B6237C"/>
    <w:rsid w:val="00B93E9B"/>
    <w:rsid w:val="00BA113A"/>
    <w:rsid w:val="00CE4671"/>
    <w:rsid w:val="00D33B07"/>
    <w:rsid w:val="00D55D3C"/>
    <w:rsid w:val="00DF1B9F"/>
    <w:rsid w:val="00E24893"/>
    <w:rsid w:val="00E260A6"/>
    <w:rsid w:val="00E537EB"/>
    <w:rsid w:val="00E62454"/>
    <w:rsid w:val="00E67D3F"/>
    <w:rsid w:val="00EC554C"/>
    <w:rsid w:val="00ED14C2"/>
    <w:rsid w:val="00EE02A3"/>
    <w:rsid w:val="00F059B6"/>
    <w:rsid w:val="00F13D89"/>
    <w:rsid w:val="00F25E9B"/>
    <w:rsid w:val="00F459E5"/>
    <w:rsid w:val="00F55F56"/>
    <w:rsid w:val="00F5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D26C02"/>
  <w15:chartTrackingRefBased/>
  <w15:docId w15:val="{2969BEC2-285A-1C45-9144-F773958D3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0CA3"/>
    <w:pPr>
      <w:widowControl w:val="0"/>
      <w:spacing w:line="480" w:lineRule="auto"/>
      <w:ind w:firstLineChars="200" w:firstLine="200"/>
      <w:jc w:val="both"/>
    </w:pPr>
    <w:rPr>
      <w:rFonts w:ascii="Times New Roman" w:hAnsi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393DD1"/>
    <w:pPr>
      <w:spacing w:beforeLines="20" w:before="20" w:afterLines="20" w:after="20" w:line="240" w:lineRule="auto"/>
      <w:ind w:firstLineChars="0" w:firstLine="0"/>
      <w:outlineLvl w:val="0"/>
    </w:pPr>
    <w:rPr>
      <w:rFonts w:eastAsia="黑体"/>
      <w:b/>
      <w:color w:val="000000" w:themeColor="text1"/>
      <w:sz w:val="2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93DD1"/>
    <w:pPr>
      <w:keepNext/>
      <w:keepLines/>
      <w:spacing w:beforeLines="20" w:before="20" w:afterLines="20" w:after="20" w:line="240" w:lineRule="auto"/>
      <w:ind w:firstLineChars="0" w:firstLine="0"/>
      <w:outlineLvl w:val="1"/>
    </w:pPr>
    <w:rPr>
      <w:rFonts w:eastAsia="黑体" w:cstheme="majorBidi"/>
      <w:b/>
      <w:color w:val="000000" w:themeColor="text1"/>
      <w:sz w:val="24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7D62"/>
    <w:pPr>
      <w:keepNext/>
      <w:keepLines/>
      <w:spacing w:before="160" w:after="80" w:line="240" w:lineRule="auto"/>
      <w:ind w:firstLineChars="0" w:firstLine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7D62"/>
    <w:pPr>
      <w:keepNext/>
      <w:keepLines/>
      <w:spacing w:before="80" w:after="40" w:line="240" w:lineRule="auto"/>
      <w:ind w:firstLineChars="0" w:firstLine="0"/>
      <w:outlineLvl w:val="3"/>
    </w:pPr>
    <w:rPr>
      <w:rFonts w:asciiTheme="minorHAnsi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7D62"/>
    <w:pPr>
      <w:keepNext/>
      <w:keepLines/>
      <w:spacing w:before="80" w:after="40" w:line="240" w:lineRule="auto"/>
      <w:ind w:firstLineChars="0" w:firstLine="0"/>
      <w:outlineLvl w:val="4"/>
    </w:pPr>
    <w:rPr>
      <w:rFonts w:asciiTheme="minorHAnsi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7D62"/>
    <w:pPr>
      <w:keepNext/>
      <w:keepLines/>
      <w:spacing w:before="40" w:line="240" w:lineRule="auto"/>
      <w:ind w:firstLineChars="0" w:firstLine="0"/>
      <w:outlineLvl w:val="5"/>
    </w:pPr>
    <w:rPr>
      <w:rFonts w:asciiTheme="minorHAnsi" w:hAnsiTheme="minorHAnsi" w:cstheme="majorBidi"/>
      <w:b/>
      <w:bCs/>
      <w:color w:val="2F5496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7D62"/>
    <w:pPr>
      <w:keepNext/>
      <w:keepLines/>
      <w:spacing w:before="40" w:line="240" w:lineRule="auto"/>
      <w:ind w:firstLineChars="0" w:firstLine="0"/>
      <w:outlineLvl w:val="6"/>
    </w:pPr>
    <w:rPr>
      <w:rFonts w:asciiTheme="minorHAnsi" w:hAnsiTheme="minorHAnsi"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7D62"/>
    <w:pPr>
      <w:keepNext/>
      <w:keepLines/>
      <w:spacing w:line="240" w:lineRule="auto"/>
      <w:ind w:firstLineChars="0" w:firstLine="0"/>
      <w:outlineLvl w:val="7"/>
    </w:pPr>
    <w:rPr>
      <w:rFonts w:asciiTheme="minorHAnsi" w:hAnsiTheme="minorHAnsi"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7D62"/>
    <w:pPr>
      <w:keepNext/>
      <w:keepLines/>
      <w:spacing w:line="240" w:lineRule="auto"/>
      <w:ind w:firstLineChars="0" w:firstLine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3DD1"/>
    <w:rPr>
      <w:rFonts w:ascii="Times New Roman" w:eastAsia="黑体" w:hAnsi="Times New Roman"/>
      <w:b/>
      <w:color w:val="000000" w:themeColor="text1"/>
      <w:sz w:val="28"/>
      <w:szCs w:val="48"/>
    </w:rPr>
  </w:style>
  <w:style w:type="character" w:customStyle="1" w:styleId="20">
    <w:name w:val="标题 2 字符"/>
    <w:basedOn w:val="a0"/>
    <w:link w:val="2"/>
    <w:uiPriority w:val="9"/>
    <w:rsid w:val="00393DD1"/>
    <w:rPr>
      <w:rFonts w:ascii="Times New Roman" w:eastAsia="黑体" w:hAnsi="Times New Roman" w:cstheme="majorBidi"/>
      <w:b/>
      <w:color w:val="000000" w:themeColor="text1"/>
      <w:sz w:val="24"/>
      <w:szCs w:val="40"/>
    </w:rPr>
  </w:style>
  <w:style w:type="paragraph" w:styleId="a3">
    <w:name w:val="Subtitle"/>
    <w:aliases w:val="标题3"/>
    <w:basedOn w:val="a"/>
    <w:next w:val="a"/>
    <w:link w:val="a4"/>
    <w:uiPriority w:val="11"/>
    <w:qFormat/>
    <w:rsid w:val="00393DD1"/>
    <w:pPr>
      <w:numPr>
        <w:ilvl w:val="1"/>
      </w:numPr>
      <w:spacing w:beforeLines="100" w:before="100" w:afterLines="20" w:after="20" w:line="240" w:lineRule="auto"/>
      <w:outlineLvl w:val="2"/>
    </w:pPr>
    <w:rPr>
      <w:rFonts w:eastAsia="黑体" w:cstheme="majorBidi"/>
      <w:color w:val="000000" w:themeColor="text1"/>
      <w:spacing w:val="15"/>
      <w:sz w:val="28"/>
      <w:szCs w:val="28"/>
    </w:rPr>
  </w:style>
  <w:style w:type="character" w:customStyle="1" w:styleId="a4">
    <w:name w:val="副标题 字符"/>
    <w:aliases w:val="标题3 字符"/>
    <w:basedOn w:val="a0"/>
    <w:link w:val="a3"/>
    <w:uiPriority w:val="11"/>
    <w:rsid w:val="00393DD1"/>
    <w:rPr>
      <w:rFonts w:ascii="Times New Roman" w:eastAsia="黑体" w:hAnsi="Times New Roman" w:cstheme="majorBidi"/>
      <w:color w:val="000000" w:themeColor="text1"/>
      <w:spacing w:val="15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917D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17D6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17D6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17D6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17D6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17D6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17D62"/>
    <w:rPr>
      <w:rFonts w:eastAsiaTheme="majorEastAsia" w:cstheme="majorBidi"/>
      <w:color w:val="595959" w:themeColor="text1" w:themeTint="A6"/>
    </w:rPr>
  </w:style>
  <w:style w:type="paragraph" w:styleId="a5">
    <w:name w:val="Title"/>
    <w:basedOn w:val="a"/>
    <w:next w:val="a"/>
    <w:link w:val="a6"/>
    <w:uiPriority w:val="10"/>
    <w:qFormat/>
    <w:rsid w:val="00917D62"/>
    <w:pPr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标题 字符"/>
    <w:basedOn w:val="a0"/>
    <w:link w:val="a5"/>
    <w:uiPriority w:val="10"/>
    <w:rsid w:val="00917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Quote"/>
    <w:basedOn w:val="a"/>
    <w:next w:val="a"/>
    <w:link w:val="a8"/>
    <w:uiPriority w:val="29"/>
    <w:qFormat/>
    <w:rsid w:val="00917D62"/>
    <w:pPr>
      <w:spacing w:before="160" w:after="160" w:line="240" w:lineRule="auto"/>
      <w:ind w:firstLineChars="0" w:firstLine="0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917D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7D62"/>
    <w:pPr>
      <w:spacing w:line="240" w:lineRule="auto"/>
      <w:ind w:left="720" w:firstLineChars="0" w:firstLine="0"/>
      <w:contextualSpacing/>
    </w:pPr>
    <w:rPr>
      <w:rFonts w:asciiTheme="minorHAnsi" w:hAnsiTheme="minorHAnsi"/>
      <w:szCs w:val="24"/>
    </w:rPr>
  </w:style>
  <w:style w:type="character" w:styleId="aa">
    <w:name w:val="Intense Emphasis"/>
    <w:basedOn w:val="a0"/>
    <w:uiPriority w:val="21"/>
    <w:qFormat/>
    <w:rsid w:val="00917D6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17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 w:firstLineChars="0" w:firstLine="0"/>
      <w:jc w:val="center"/>
    </w:pPr>
    <w:rPr>
      <w:rFonts w:asciiTheme="minorHAnsi" w:hAnsiTheme="minorHAnsi"/>
      <w:i/>
      <w:iCs/>
      <w:color w:val="2F5496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917D6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17D62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E0CA3"/>
    <w:rPr>
      <w:color w:val="0563C1" w:themeColor="hyperlink"/>
      <w:u w:val="single"/>
    </w:rPr>
  </w:style>
  <w:style w:type="paragraph" w:customStyle="1" w:styleId="Default">
    <w:name w:val="Default"/>
    <w:rsid w:val="00AE0CA3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Qiyuan Sun</dc:creator>
  <cp:keywords/>
  <dc:description/>
  <cp:lastModifiedBy>Qiyuan Sun</cp:lastModifiedBy>
  <cp:revision>5</cp:revision>
  <dcterms:created xsi:type="dcterms:W3CDTF">2026-03-03T02:54:00Z</dcterms:created>
  <dcterms:modified xsi:type="dcterms:W3CDTF">2026-03-03T03:31:00Z</dcterms:modified>
</cp:coreProperties>
</file>