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3B5937" w14:textId="77777777" w:rsidR="005474CA" w:rsidRPr="005474CA" w:rsidRDefault="005474CA" w:rsidP="005474CA">
      <w:pPr>
        <w:jc w:val="both"/>
        <w:rPr>
          <w:lang w:val="en-US"/>
        </w:rPr>
      </w:pPr>
      <w:r w:rsidRPr="005474CA">
        <w:rPr>
          <w:lang w:val="en-US"/>
        </w:rPr>
        <w:t>This poster presents the complete scope and outcomes of a master’s research focused on the development and evaluation of sustainable carbon-based materials derived from carbonized agave bagasse for water treatment applications. The study integrates material synthesis, physicochemical characterization, and experimental assessment of treatment performance, framed within a circular economy approach that seeks to valorize agricultural waste as functional materials for environmental biotechnology.</w:t>
      </w:r>
    </w:p>
    <w:p w14:paraId="57DA6879" w14:textId="77777777" w:rsidR="005474CA" w:rsidRPr="005474CA" w:rsidRDefault="005474CA" w:rsidP="005474CA">
      <w:pPr>
        <w:jc w:val="both"/>
        <w:rPr>
          <w:lang w:val="en-US"/>
        </w:rPr>
      </w:pPr>
      <w:r w:rsidRPr="005474CA">
        <w:rPr>
          <w:lang w:val="en-US"/>
        </w:rPr>
        <w:t xml:space="preserve">Carbon fibers obtained from carbonized agave bagasse were produced and evaluated in two conditions: untreated and </w:t>
      </w:r>
      <w:proofErr w:type="gramStart"/>
      <w:r w:rsidRPr="005474CA">
        <w:rPr>
          <w:lang w:val="en-US"/>
        </w:rPr>
        <w:t>acid-washed</w:t>
      </w:r>
      <w:proofErr w:type="gramEnd"/>
      <w:r w:rsidRPr="005474CA">
        <w:rPr>
          <w:lang w:val="en-US"/>
        </w:rPr>
        <w:t>. A comprehensive physicochemical characterization was performed using scanning electron microscopy coupled with energy-dispersive X-ray spectroscopy (SEM–EDX) to analyze surface morphology, elemental composition, and structural differences between both fiber types. The results showed that acid washing modified the fiber surface by reducing inorganic residues and enhancing the exposure of active sites relevant for interaction with iron nanoparticles and microorganisms.</w:t>
      </w:r>
    </w:p>
    <w:p w14:paraId="70E6CD76" w14:textId="77777777" w:rsidR="005474CA" w:rsidRPr="005474CA" w:rsidRDefault="005474CA" w:rsidP="005474CA">
      <w:pPr>
        <w:jc w:val="both"/>
        <w:rPr>
          <w:lang w:val="en-US"/>
        </w:rPr>
      </w:pPr>
      <w:r w:rsidRPr="005474CA">
        <w:rPr>
          <w:lang w:val="en-US"/>
        </w:rPr>
        <w:t>Zero-valent iron nanoparticles (</w:t>
      </w:r>
      <w:proofErr w:type="spellStart"/>
      <w:r w:rsidRPr="005474CA">
        <w:rPr>
          <w:lang w:val="en-US"/>
        </w:rPr>
        <w:t>nZVI</w:t>
      </w:r>
      <w:proofErr w:type="spellEnd"/>
      <w:r w:rsidRPr="005474CA">
        <w:rPr>
          <w:lang w:val="en-US"/>
        </w:rPr>
        <w:t xml:space="preserve">) were incorporated into the system as reactive agents to promote redox processes and enhance contaminant transformation. SEM–EDX analyses confirmed the presence and distribution of iron on the fiber surfaces, indicating effective interaction between the carbon fibers and </w:t>
      </w:r>
      <w:proofErr w:type="spellStart"/>
      <w:r w:rsidRPr="005474CA">
        <w:rPr>
          <w:lang w:val="en-US"/>
        </w:rPr>
        <w:t>nZVI</w:t>
      </w:r>
      <w:proofErr w:type="spellEnd"/>
      <w:r w:rsidRPr="005474CA">
        <w:rPr>
          <w:lang w:val="en-US"/>
        </w:rPr>
        <w:t xml:space="preserve">. The role of the fibers as a support material for </w:t>
      </w:r>
      <w:proofErr w:type="spellStart"/>
      <w:r w:rsidRPr="005474CA">
        <w:rPr>
          <w:lang w:val="en-US"/>
        </w:rPr>
        <w:t>nZVI</w:t>
      </w:r>
      <w:proofErr w:type="spellEnd"/>
      <w:r w:rsidRPr="005474CA">
        <w:rPr>
          <w:lang w:val="en-US"/>
        </w:rPr>
        <w:t xml:space="preserve"> was evaluated, highlighting their contribution to nanoparticle stabilization and dispersion.</w:t>
      </w:r>
    </w:p>
    <w:p w14:paraId="61650A19" w14:textId="77777777" w:rsidR="005474CA" w:rsidRPr="005474CA" w:rsidRDefault="005474CA" w:rsidP="005474CA">
      <w:pPr>
        <w:jc w:val="both"/>
        <w:rPr>
          <w:lang w:val="en-US"/>
        </w:rPr>
      </w:pPr>
      <w:r w:rsidRPr="005474CA">
        <w:rPr>
          <w:lang w:val="en-US"/>
        </w:rPr>
        <w:t xml:space="preserve">Batch-scale experiments were carried out using synthetic water formulated to replicate the chemical characteristics of the San José reservoir. These experiments evaluated systems containing carbon fibers, </w:t>
      </w:r>
      <w:proofErr w:type="spellStart"/>
      <w:r w:rsidRPr="005474CA">
        <w:rPr>
          <w:lang w:val="en-US"/>
        </w:rPr>
        <w:t>nZVI</w:t>
      </w:r>
      <w:proofErr w:type="spellEnd"/>
      <w:r w:rsidRPr="005474CA">
        <w:rPr>
          <w:lang w:val="en-US"/>
        </w:rPr>
        <w:t xml:space="preserve">, and microbial communities under controlled conditions, allowing comparison with control systems lacking fibers and/or </w:t>
      </w:r>
      <w:proofErr w:type="spellStart"/>
      <w:r w:rsidRPr="005474CA">
        <w:rPr>
          <w:lang w:val="en-US"/>
        </w:rPr>
        <w:t>nZVI</w:t>
      </w:r>
      <w:proofErr w:type="spellEnd"/>
      <w:r w:rsidRPr="005474CA">
        <w:rPr>
          <w:lang w:val="en-US"/>
        </w:rPr>
        <w:t>. The experimental design enabled the assessment of individual and combined effects of each component within the treatment process.</w:t>
      </w:r>
    </w:p>
    <w:p w14:paraId="7C414003" w14:textId="77777777" w:rsidR="005474CA" w:rsidRPr="005474CA" w:rsidRDefault="005474CA" w:rsidP="005474CA">
      <w:pPr>
        <w:jc w:val="both"/>
        <w:rPr>
          <w:lang w:val="en-US"/>
        </w:rPr>
      </w:pPr>
      <w:r w:rsidRPr="005474CA">
        <w:rPr>
          <w:lang w:val="en-US"/>
        </w:rPr>
        <w:t xml:space="preserve">The transformation and removal of nitrogen compounds, including ammonium, nitrites, and nitrates, were monitored over time. Comparative analyses demonstrated differences in nitrogen dynamics between systems, suggesting synergistic interactions between carbon fibers, </w:t>
      </w:r>
      <w:proofErr w:type="spellStart"/>
      <w:r w:rsidRPr="005474CA">
        <w:rPr>
          <w:lang w:val="en-US"/>
        </w:rPr>
        <w:t>nZVI</w:t>
      </w:r>
      <w:proofErr w:type="spellEnd"/>
      <w:r w:rsidRPr="005474CA">
        <w:rPr>
          <w:lang w:val="en-US"/>
        </w:rPr>
        <w:t>, and microbial activity. The observed trends were discussed in terms of adsorption, redox reactions, and biologically mediated processes.</w:t>
      </w:r>
    </w:p>
    <w:p w14:paraId="6E41B89C" w14:textId="77777777" w:rsidR="005474CA" w:rsidRPr="005474CA" w:rsidRDefault="005474CA" w:rsidP="005474CA">
      <w:pPr>
        <w:jc w:val="both"/>
        <w:rPr>
          <w:lang w:val="en-US"/>
        </w:rPr>
      </w:pPr>
      <w:r w:rsidRPr="005474CA">
        <w:rPr>
          <w:lang w:val="en-US"/>
        </w:rPr>
        <w:t xml:space="preserve">Biofilm development on the carbon fibers was assessed through SEM observations, allowing evaluation of microbial attachment and surface coverage. The results indicated differences in biofilm distribution between untreated and acid-washed fibers, with implications for microbial colonization efficiency and process performance. The influence of surface properties and the presence of </w:t>
      </w:r>
      <w:proofErr w:type="spellStart"/>
      <w:r w:rsidRPr="005474CA">
        <w:rPr>
          <w:lang w:val="en-US"/>
        </w:rPr>
        <w:t>nZVI</w:t>
      </w:r>
      <w:proofErr w:type="spellEnd"/>
      <w:r w:rsidRPr="005474CA">
        <w:rPr>
          <w:lang w:val="en-US"/>
        </w:rPr>
        <w:t xml:space="preserve"> on biofilm formation was also examined.</w:t>
      </w:r>
    </w:p>
    <w:p w14:paraId="49825E05" w14:textId="16FA8593" w:rsidR="00931C4C" w:rsidRDefault="005474CA" w:rsidP="005474CA">
      <w:pPr>
        <w:jc w:val="both"/>
        <w:rPr>
          <w:lang w:val="en-US"/>
        </w:rPr>
      </w:pPr>
      <w:r w:rsidRPr="005474CA">
        <w:rPr>
          <w:lang w:val="en-US"/>
        </w:rPr>
        <w:lastRenderedPageBreak/>
        <w:t>Overall, the poster consolidates the experimental findings to demonstrate the technical feasibility and environmental relevance of agave bagasse-derived carbon fibers combined with zero-valent iron nanoparticles as a low-cost and sustainable strategy for water treatment. The study provides a foundation for future scale-up and optimization, positioning this material as a promising alternative for improving nitrogen removal and supporting integrated physicochemical and biological treatment processes.</w:t>
      </w:r>
    </w:p>
    <w:p w14:paraId="202D07B7" w14:textId="6C1955EE" w:rsidR="005474CA" w:rsidRDefault="005474CA">
      <w:pPr>
        <w:rPr>
          <w:lang w:val="en-US"/>
        </w:rPr>
      </w:pPr>
      <w:r>
        <w:rPr>
          <w:lang w:val="en-US"/>
        </w:rPr>
        <w:t>References:</w:t>
      </w:r>
    </w:p>
    <w:p w14:paraId="57A360A5" w14:textId="12D46AD5" w:rsidR="005474CA" w:rsidRPr="005474CA" w:rsidRDefault="005474CA" w:rsidP="005474CA">
      <w:pPr>
        <w:ind w:firstLine="426"/>
        <w:rPr>
          <w:lang w:val="en-US"/>
        </w:rPr>
      </w:pPr>
      <w:r w:rsidRPr="005474CA">
        <w:rPr>
          <w:lang w:val="en-US"/>
        </w:rPr>
        <w:t xml:space="preserve">Crane, R. A., &amp; Scott, T. B. (2012). Nanoscale zero-valent iron: </w:t>
      </w:r>
      <w:proofErr w:type="gramStart"/>
      <w:r w:rsidRPr="005474CA">
        <w:rPr>
          <w:lang w:val="en-US"/>
        </w:rPr>
        <w:t>Future prospects</w:t>
      </w:r>
      <w:proofErr w:type="gramEnd"/>
      <w:r w:rsidRPr="005474CA">
        <w:rPr>
          <w:lang w:val="en-US"/>
        </w:rPr>
        <w:t xml:space="preserve"> for an emerging water treatment technology. </w:t>
      </w:r>
      <w:r w:rsidRPr="005474CA">
        <w:rPr>
          <w:i/>
          <w:iCs/>
          <w:lang w:val="en-US"/>
        </w:rPr>
        <w:t>Journal of Hazardous Materials, 211–212</w:t>
      </w:r>
      <w:r w:rsidRPr="005474CA">
        <w:rPr>
          <w:lang w:val="en-US"/>
        </w:rPr>
        <w:t>, 112–125. https://doi.org/10.1016/j.jhazmat.2011.11.073</w:t>
      </w:r>
    </w:p>
    <w:p w14:paraId="31BF6DA3" w14:textId="4B688EEA" w:rsidR="005474CA" w:rsidRPr="005474CA" w:rsidRDefault="005474CA" w:rsidP="005474CA">
      <w:pPr>
        <w:ind w:firstLine="426"/>
        <w:rPr>
          <w:lang w:val="en-US"/>
        </w:rPr>
      </w:pPr>
      <w:r w:rsidRPr="005474CA">
        <w:rPr>
          <w:lang w:val="en-US"/>
        </w:rPr>
        <w:t xml:space="preserve">Fu, F., &amp; Dionysiou, D. D. (2014). Persulfate activation systems for contaminant degradation: A review. </w:t>
      </w:r>
      <w:r w:rsidRPr="005474CA">
        <w:rPr>
          <w:i/>
          <w:iCs/>
          <w:lang w:val="en-US"/>
        </w:rPr>
        <w:t>Chemical Engineering Journal, 245</w:t>
      </w:r>
      <w:r w:rsidRPr="005474CA">
        <w:rPr>
          <w:lang w:val="en-US"/>
        </w:rPr>
        <w:t>, 79–92. https://doi.org/10.1016/j.cej.2014.01.113</w:t>
      </w:r>
    </w:p>
    <w:p w14:paraId="17DDDBF0" w14:textId="01F59991" w:rsidR="005474CA" w:rsidRPr="005474CA" w:rsidRDefault="005474CA" w:rsidP="005474CA">
      <w:pPr>
        <w:ind w:firstLine="426"/>
        <w:rPr>
          <w:lang w:val="en-US"/>
        </w:rPr>
      </w:pPr>
      <w:r w:rsidRPr="005474CA">
        <w:rPr>
          <w:lang w:val="en-US"/>
        </w:rPr>
        <w:t xml:space="preserve">Gupta, V. K., Nayak, A., &amp; Agarwal, S. (2015). </w:t>
      </w:r>
      <w:proofErr w:type="spellStart"/>
      <w:r w:rsidRPr="005474CA">
        <w:rPr>
          <w:lang w:val="en-US"/>
        </w:rPr>
        <w:t>Bioadsorbents</w:t>
      </w:r>
      <w:proofErr w:type="spellEnd"/>
      <w:r w:rsidRPr="005474CA">
        <w:rPr>
          <w:lang w:val="en-US"/>
        </w:rPr>
        <w:t xml:space="preserve"> for remediation of heavy metals: </w:t>
      </w:r>
      <w:proofErr w:type="gramStart"/>
      <w:r w:rsidRPr="005474CA">
        <w:rPr>
          <w:lang w:val="en-US"/>
        </w:rPr>
        <w:t>Current status</w:t>
      </w:r>
      <w:proofErr w:type="gramEnd"/>
      <w:r w:rsidRPr="005474CA">
        <w:rPr>
          <w:lang w:val="en-US"/>
        </w:rPr>
        <w:t xml:space="preserve"> and their future prospects. </w:t>
      </w:r>
      <w:r w:rsidRPr="005474CA">
        <w:rPr>
          <w:i/>
          <w:iCs/>
          <w:lang w:val="en-US"/>
        </w:rPr>
        <w:t>Environmental Engineering Research, 20</w:t>
      </w:r>
      <w:r w:rsidRPr="005474CA">
        <w:rPr>
          <w:lang w:val="en-US"/>
        </w:rPr>
        <w:t>(1), 1–18. https://doi.org/10.4491/eer.2015.018</w:t>
      </w:r>
    </w:p>
    <w:p w14:paraId="354B31DF" w14:textId="17B3D5EE" w:rsidR="005474CA" w:rsidRPr="005474CA" w:rsidRDefault="005474CA" w:rsidP="005474CA">
      <w:pPr>
        <w:ind w:firstLine="426"/>
        <w:rPr>
          <w:lang w:val="en-US"/>
        </w:rPr>
      </w:pPr>
      <w:r w:rsidRPr="005474CA">
        <w:rPr>
          <w:lang w:val="en-US"/>
        </w:rPr>
        <w:t xml:space="preserve">Lehmann, J., &amp; Joseph, S. (2015). </w:t>
      </w:r>
      <w:r w:rsidRPr="005474CA">
        <w:rPr>
          <w:i/>
          <w:iCs/>
          <w:lang w:val="en-US"/>
        </w:rPr>
        <w:t>Biochar for environmental management: Science, technology and implementation</w:t>
      </w:r>
      <w:r w:rsidRPr="005474CA">
        <w:rPr>
          <w:lang w:val="en-US"/>
        </w:rPr>
        <w:t xml:space="preserve"> (2nd ed.). Routledge.</w:t>
      </w:r>
    </w:p>
    <w:p w14:paraId="20C50DE2" w14:textId="4B2778B2" w:rsidR="005474CA" w:rsidRPr="005474CA" w:rsidRDefault="005474CA" w:rsidP="005474CA">
      <w:pPr>
        <w:ind w:firstLine="426"/>
        <w:rPr>
          <w:lang w:val="en-US"/>
        </w:rPr>
      </w:pPr>
      <w:r w:rsidRPr="005474CA">
        <w:rPr>
          <w:lang w:val="en-US"/>
        </w:rPr>
        <w:t xml:space="preserve">Li, X., Elliott, D. W., &amp; Zhang, W. X. (2006). Zero-valent iron nanoparticles for abatement of environmental pollutants: Materials and engineering aspects. </w:t>
      </w:r>
      <w:r w:rsidRPr="005474CA">
        <w:rPr>
          <w:i/>
          <w:iCs/>
          <w:lang w:val="en-US"/>
        </w:rPr>
        <w:t>Critical Reviews in Solid State and Materials Sciences, 31</w:t>
      </w:r>
      <w:r w:rsidRPr="005474CA">
        <w:rPr>
          <w:lang w:val="en-US"/>
        </w:rPr>
        <w:t>(4), 111–122. https://doi.org/10.1080/10408430601057611</w:t>
      </w:r>
    </w:p>
    <w:p w14:paraId="42B250B9" w14:textId="0BFE90E4" w:rsidR="005474CA" w:rsidRPr="005474CA" w:rsidRDefault="005474CA" w:rsidP="005474CA">
      <w:pPr>
        <w:ind w:firstLine="426"/>
        <w:rPr>
          <w:lang w:val="en-US"/>
        </w:rPr>
      </w:pPr>
      <w:r w:rsidRPr="005474CA">
        <w:rPr>
          <w:lang w:val="en-US"/>
        </w:rPr>
        <w:t xml:space="preserve">Liu, Y., &amp; Tay, J. H. (2002). The essential role of hydrodynamic shear force in the formation of biofilm and granular sludge. </w:t>
      </w:r>
      <w:r w:rsidRPr="005474CA">
        <w:rPr>
          <w:i/>
          <w:iCs/>
          <w:lang w:val="en-US"/>
        </w:rPr>
        <w:t>Water Research, 36</w:t>
      </w:r>
      <w:r w:rsidRPr="005474CA">
        <w:rPr>
          <w:lang w:val="en-US"/>
        </w:rPr>
        <w:t>(7), 1653–1665. https://doi.org/10.1016/S0043-1354(01)00379-7</w:t>
      </w:r>
    </w:p>
    <w:p w14:paraId="4DCF96D5" w14:textId="3D70F3A9" w:rsidR="005474CA" w:rsidRPr="005474CA" w:rsidRDefault="005474CA" w:rsidP="005474CA">
      <w:pPr>
        <w:ind w:firstLine="426"/>
        <w:rPr>
          <w:lang w:val="en-US"/>
        </w:rPr>
      </w:pPr>
      <w:r w:rsidRPr="005474CA">
        <w:rPr>
          <w:lang w:val="en-US"/>
        </w:rPr>
        <w:t xml:space="preserve">Pan, B., &amp; Xing, B. (2012). Applications and implications of manufactured nanoparticles in soils: A review. </w:t>
      </w:r>
      <w:r w:rsidRPr="005474CA">
        <w:rPr>
          <w:i/>
          <w:iCs/>
          <w:lang w:val="en-US"/>
        </w:rPr>
        <w:t>European Journal of Soil Science, 63</w:t>
      </w:r>
      <w:r w:rsidRPr="005474CA">
        <w:rPr>
          <w:lang w:val="en-US"/>
        </w:rPr>
        <w:t>(4), 437–456. https://doi.org/10.1111/j.1365-2389.2012.01469.x</w:t>
      </w:r>
    </w:p>
    <w:p w14:paraId="2FDA4A1D" w14:textId="275112AC" w:rsidR="005474CA" w:rsidRPr="005474CA" w:rsidRDefault="005474CA" w:rsidP="005474CA">
      <w:pPr>
        <w:ind w:firstLine="426"/>
        <w:rPr>
          <w:lang w:val="en-US"/>
        </w:rPr>
      </w:pPr>
      <w:r w:rsidRPr="005474CA">
        <w:rPr>
          <w:lang w:val="en-US"/>
        </w:rPr>
        <w:t xml:space="preserve">Wang, S., Gao, B., Zimmerman, A. R., Li, Y., Ma, L., Harris, W. G., &amp; Migliaccio, K. W. (2015). Removal of arsenic by magnetic biochar prepared from pinewood and natural hematite. </w:t>
      </w:r>
      <w:r w:rsidRPr="005474CA">
        <w:rPr>
          <w:i/>
          <w:iCs/>
          <w:lang w:val="en-US"/>
        </w:rPr>
        <w:t>Bioresource Technology, 175</w:t>
      </w:r>
      <w:r w:rsidRPr="005474CA">
        <w:rPr>
          <w:lang w:val="en-US"/>
        </w:rPr>
        <w:t>, 391–395. https://doi.org/10.1016/j.biortech.2014.10.104</w:t>
      </w:r>
    </w:p>
    <w:p w14:paraId="32E5D3D1" w14:textId="6CF6C380" w:rsidR="005474CA" w:rsidRPr="005474CA" w:rsidRDefault="005474CA" w:rsidP="005474CA">
      <w:pPr>
        <w:ind w:firstLine="426"/>
        <w:rPr>
          <w:lang w:val="en-US"/>
        </w:rPr>
      </w:pPr>
      <w:r w:rsidRPr="005474CA">
        <w:rPr>
          <w:lang w:val="en-US"/>
        </w:rPr>
        <w:t xml:space="preserve">Weber, K. A., Achenbach, L. A., &amp; Coates, J. D. (2006). Microorganisms pumping iron: Anaerobic microbial iron oxidation and reduction. </w:t>
      </w:r>
      <w:r w:rsidRPr="005474CA">
        <w:rPr>
          <w:i/>
          <w:iCs/>
          <w:lang w:val="en-US"/>
        </w:rPr>
        <w:t>Nature Reviews Microbiology, 4</w:t>
      </w:r>
      <w:r w:rsidRPr="005474CA">
        <w:rPr>
          <w:lang w:val="en-US"/>
        </w:rPr>
        <w:t>(10), 752–764. https://doi.org/10.1038/nrmicro1490</w:t>
      </w:r>
    </w:p>
    <w:sectPr w:rsidR="005474CA" w:rsidRPr="005474CA" w:rsidSect="00035CA5">
      <w:pgSz w:w="11906" w:h="16838"/>
      <w:pgMar w:top="1418" w:right="1701" w:bottom="141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4CA"/>
    <w:rsid w:val="00035CA5"/>
    <w:rsid w:val="002D5AFC"/>
    <w:rsid w:val="005474CA"/>
    <w:rsid w:val="008A65D9"/>
    <w:rsid w:val="00931C4C"/>
    <w:rsid w:val="00A15C47"/>
    <w:rsid w:val="00D55AC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83066"/>
  <w15:chartTrackingRefBased/>
  <w15:docId w15:val="{F77FEDBF-3DF3-48A7-BB7D-D5818720B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C"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sub1"/>
    <w:basedOn w:val="Normal"/>
    <w:next w:val="Normal"/>
    <w:link w:val="Ttulo1Car"/>
    <w:autoRedefine/>
    <w:uiPriority w:val="9"/>
    <w:qFormat/>
    <w:rsid w:val="002D5AFC"/>
    <w:pPr>
      <w:keepNext/>
      <w:keepLines/>
      <w:spacing w:before="360" w:after="80"/>
      <w:ind w:left="2124"/>
      <w:outlineLvl w:val="0"/>
    </w:pPr>
    <w:rPr>
      <w:rFonts w:ascii="Arial" w:eastAsiaTheme="majorEastAsia" w:hAnsi="Arial" w:cstheme="majorBidi"/>
      <w:b/>
      <w:sz w:val="20"/>
      <w:szCs w:val="40"/>
      <w:lang w:val="en-US"/>
    </w:rPr>
  </w:style>
  <w:style w:type="paragraph" w:styleId="Ttulo2">
    <w:name w:val="heading 2"/>
    <w:basedOn w:val="Normal"/>
    <w:next w:val="Normal"/>
    <w:link w:val="Ttulo2Car"/>
    <w:uiPriority w:val="9"/>
    <w:semiHidden/>
    <w:unhideWhenUsed/>
    <w:qFormat/>
    <w:rsid w:val="005474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474C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474C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474C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474C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474C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474C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474C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sub1 Car"/>
    <w:basedOn w:val="Fuentedeprrafopredeter"/>
    <w:link w:val="Ttulo1"/>
    <w:uiPriority w:val="9"/>
    <w:rsid w:val="002D5AFC"/>
    <w:rPr>
      <w:rFonts w:ascii="Arial" w:eastAsiaTheme="majorEastAsia" w:hAnsi="Arial" w:cstheme="majorBidi"/>
      <w:b/>
      <w:sz w:val="20"/>
      <w:szCs w:val="40"/>
      <w:lang w:val="en-US"/>
    </w:rPr>
  </w:style>
  <w:style w:type="character" w:customStyle="1" w:styleId="Ttulo2Car">
    <w:name w:val="Título 2 Car"/>
    <w:basedOn w:val="Fuentedeprrafopredeter"/>
    <w:link w:val="Ttulo2"/>
    <w:uiPriority w:val="9"/>
    <w:semiHidden/>
    <w:rsid w:val="005474C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474C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474C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474C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474C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474C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474C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474CA"/>
    <w:rPr>
      <w:rFonts w:eastAsiaTheme="majorEastAsia" w:cstheme="majorBidi"/>
      <w:color w:val="272727" w:themeColor="text1" w:themeTint="D8"/>
    </w:rPr>
  </w:style>
  <w:style w:type="paragraph" w:styleId="Ttulo">
    <w:name w:val="Title"/>
    <w:basedOn w:val="Normal"/>
    <w:next w:val="Normal"/>
    <w:link w:val="TtuloCar"/>
    <w:uiPriority w:val="10"/>
    <w:qFormat/>
    <w:rsid w:val="005474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474C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474C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474C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474CA"/>
    <w:pPr>
      <w:spacing w:before="160"/>
      <w:jc w:val="center"/>
    </w:pPr>
    <w:rPr>
      <w:i/>
      <w:iCs/>
      <w:color w:val="404040" w:themeColor="text1" w:themeTint="BF"/>
    </w:rPr>
  </w:style>
  <w:style w:type="character" w:customStyle="1" w:styleId="CitaCar">
    <w:name w:val="Cita Car"/>
    <w:basedOn w:val="Fuentedeprrafopredeter"/>
    <w:link w:val="Cita"/>
    <w:uiPriority w:val="29"/>
    <w:rsid w:val="005474CA"/>
    <w:rPr>
      <w:i/>
      <w:iCs/>
      <w:color w:val="404040" w:themeColor="text1" w:themeTint="BF"/>
    </w:rPr>
  </w:style>
  <w:style w:type="paragraph" w:styleId="Prrafodelista">
    <w:name w:val="List Paragraph"/>
    <w:basedOn w:val="Normal"/>
    <w:uiPriority w:val="34"/>
    <w:qFormat/>
    <w:rsid w:val="005474CA"/>
    <w:pPr>
      <w:ind w:left="720"/>
      <w:contextualSpacing/>
    </w:pPr>
  </w:style>
  <w:style w:type="character" w:styleId="nfasisintenso">
    <w:name w:val="Intense Emphasis"/>
    <w:basedOn w:val="Fuentedeprrafopredeter"/>
    <w:uiPriority w:val="21"/>
    <w:qFormat/>
    <w:rsid w:val="005474CA"/>
    <w:rPr>
      <w:i/>
      <w:iCs/>
      <w:color w:val="0F4761" w:themeColor="accent1" w:themeShade="BF"/>
    </w:rPr>
  </w:style>
  <w:style w:type="paragraph" w:styleId="Citadestacada">
    <w:name w:val="Intense Quote"/>
    <w:basedOn w:val="Normal"/>
    <w:next w:val="Normal"/>
    <w:link w:val="CitadestacadaCar"/>
    <w:uiPriority w:val="30"/>
    <w:qFormat/>
    <w:rsid w:val="005474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474CA"/>
    <w:rPr>
      <w:i/>
      <w:iCs/>
      <w:color w:val="0F4761" w:themeColor="accent1" w:themeShade="BF"/>
    </w:rPr>
  </w:style>
  <w:style w:type="character" w:styleId="Referenciaintensa">
    <w:name w:val="Intense Reference"/>
    <w:basedOn w:val="Fuentedeprrafopredeter"/>
    <w:uiPriority w:val="32"/>
    <w:qFormat/>
    <w:rsid w:val="005474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8281010">
      <w:bodyDiv w:val="1"/>
      <w:marLeft w:val="0"/>
      <w:marRight w:val="0"/>
      <w:marTop w:val="0"/>
      <w:marBottom w:val="0"/>
      <w:divBdr>
        <w:top w:val="none" w:sz="0" w:space="0" w:color="auto"/>
        <w:left w:val="none" w:sz="0" w:space="0" w:color="auto"/>
        <w:bottom w:val="none" w:sz="0" w:space="0" w:color="auto"/>
        <w:right w:val="none" w:sz="0" w:space="0" w:color="auto"/>
      </w:divBdr>
    </w:div>
    <w:div w:id="802310479">
      <w:bodyDiv w:val="1"/>
      <w:marLeft w:val="0"/>
      <w:marRight w:val="0"/>
      <w:marTop w:val="0"/>
      <w:marBottom w:val="0"/>
      <w:divBdr>
        <w:top w:val="none" w:sz="0" w:space="0" w:color="auto"/>
        <w:left w:val="none" w:sz="0" w:space="0" w:color="auto"/>
        <w:bottom w:val="none" w:sz="0" w:space="0" w:color="auto"/>
        <w:right w:val="none" w:sz="0" w:space="0" w:color="auto"/>
      </w:divBdr>
    </w:div>
    <w:div w:id="1384982947">
      <w:bodyDiv w:val="1"/>
      <w:marLeft w:val="0"/>
      <w:marRight w:val="0"/>
      <w:marTop w:val="0"/>
      <w:marBottom w:val="0"/>
      <w:divBdr>
        <w:top w:val="none" w:sz="0" w:space="0" w:color="auto"/>
        <w:left w:val="none" w:sz="0" w:space="0" w:color="auto"/>
        <w:bottom w:val="none" w:sz="0" w:space="0" w:color="auto"/>
        <w:right w:val="none" w:sz="0" w:space="0" w:color="auto"/>
      </w:divBdr>
    </w:div>
    <w:div w:id="1646738933">
      <w:bodyDiv w:val="1"/>
      <w:marLeft w:val="0"/>
      <w:marRight w:val="0"/>
      <w:marTop w:val="0"/>
      <w:marBottom w:val="0"/>
      <w:divBdr>
        <w:top w:val="none" w:sz="0" w:space="0" w:color="auto"/>
        <w:left w:val="none" w:sz="0" w:space="0" w:color="auto"/>
        <w:bottom w:val="none" w:sz="0" w:space="0" w:color="auto"/>
        <w:right w:val="none" w:sz="0" w:space="0" w:color="auto"/>
      </w:divBdr>
    </w:div>
    <w:div w:id="1706176187">
      <w:bodyDiv w:val="1"/>
      <w:marLeft w:val="0"/>
      <w:marRight w:val="0"/>
      <w:marTop w:val="0"/>
      <w:marBottom w:val="0"/>
      <w:divBdr>
        <w:top w:val="none" w:sz="0" w:space="0" w:color="auto"/>
        <w:left w:val="none" w:sz="0" w:space="0" w:color="auto"/>
        <w:bottom w:val="none" w:sz="0" w:space="0" w:color="auto"/>
        <w:right w:val="none" w:sz="0" w:space="0" w:color="auto"/>
      </w:divBdr>
    </w:div>
    <w:div w:id="1786339798">
      <w:bodyDiv w:val="1"/>
      <w:marLeft w:val="0"/>
      <w:marRight w:val="0"/>
      <w:marTop w:val="0"/>
      <w:marBottom w:val="0"/>
      <w:divBdr>
        <w:top w:val="none" w:sz="0" w:space="0" w:color="auto"/>
        <w:left w:val="none" w:sz="0" w:space="0" w:color="auto"/>
        <w:bottom w:val="none" w:sz="0" w:space="0" w:color="auto"/>
        <w:right w:val="none" w:sz="0" w:space="0" w:color="auto"/>
      </w:divBdr>
    </w:div>
    <w:div w:id="1803228257">
      <w:bodyDiv w:val="1"/>
      <w:marLeft w:val="0"/>
      <w:marRight w:val="0"/>
      <w:marTop w:val="0"/>
      <w:marBottom w:val="0"/>
      <w:divBdr>
        <w:top w:val="none" w:sz="0" w:space="0" w:color="auto"/>
        <w:left w:val="none" w:sz="0" w:space="0" w:color="auto"/>
        <w:bottom w:val="none" w:sz="0" w:space="0" w:color="auto"/>
        <w:right w:val="none" w:sz="0" w:space="0" w:color="auto"/>
      </w:divBdr>
    </w:div>
    <w:div w:id="198288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816</Words>
  <Characters>4492</Characters>
  <Application>Microsoft Office Word</Application>
  <DocSecurity>0</DocSecurity>
  <Lines>37</Lines>
  <Paragraphs>10</Paragraphs>
  <ScaleCrop>false</ScaleCrop>
  <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Sebastián Carrión Loja</dc:creator>
  <cp:keywords/>
  <dc:description/>
  <cp:lastModifiedBy>Robert Sebastián Carrión Loja</cp:lastModifiedBy>
  <cp:revision>1</cp:revision>
  <dcterms:created xsi:type="dcterms:W3CDTF">2026-01-26T16:28:00Z</dcterms:created>
  <dcterms:modified xsi:type="dcterms:W3CDTF">2026-01-26T16:33:00Z</dcterms:modified>
</cp:coreProperties>
</file>