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10E8E" w14:textId="3F6F0792" w:rsidR="001B57B3" w:rsidRPr="005E07AB" w:rsidRDefault="001B57B3" w:rsidP="00ED086E">
      <w:pPr>
        <w:tabs>
          <w:tab w:val="left" w:pos="-879"/>
          <w:tab w:val="left" w:pos="0"/>
          <w:tab w:val="left" w:pos="788"/>
          <w:tab w:val="left" w:pos="1627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autoSpaceDE w:val="0"/>
        <w:autoSpaceDN w:val="0"/>
        <w:adjustRightInd w:val="0"/>
        <w:snapToGrid w:val="0"/>
        <w:spacing w:after="120"/>
        <w:jc w:val="center"/>
        <w:rPr>
          <w:rFonts w:eastAsia="Times New Roman"/>
          <w:b/>
          <w:kern w:val="0"/>
          <w:sz w:val="28"/>
          <w:szCs w:val="28"/>
          <w:lang w:val="en-GB" w:eastAsia="en-US"/>
        </w:rPr>
      </w:pPr>
      <w:r w:rsidRPr="001B57B3">
        <w:rPr>
          <w:rFonts w:eastAsia="Times New Roman"/>
          <w:b/>
          <w:kern w:val="0"/>
          <w:sz w:val="28"/>
          <w:szCs w:val="28"/>
          <w:lang w:val="en-GB" w:eastAsia="en-US"/>
        </w:rPr>
        <w:t>Hydrogen peroxide and free available chlorine activation and quenching at non-ferrous</w:t>
      </w:r>
      <w:r w:rsidR="000B6743">
        <w:rPr>
          <w:rFonts w:eastAsia="Times New Roman"/>
          <w:b/>
          <w:kern w:val="0"/>
          <w:sz w:val="28"/>
          <w:szCs w:val="28"/>
          <w:lang w:val="en-GB" w:eastAsia="en-US"/>
        </w:rPr>
        <w:t xml:space="preserve">/ic and </w:t>
      </w:r>
      <w:r w:rsidRPr="001B57B3">
        <w:rPr>
          <w:rFonts w:eastAsia="Times New Roman"/>
          <w:b/>
          <w:kern w:val="0"/>
          <w:sz w:val="28"/>
          <w:szCs w:val="28"/>
          <w:lang w:val="en-GB" w:eastAsia="en-US"/>
        </w:rPr>
        <w:t>non-cuprous</w:t>
      </w:r>
      <w:r w:rsidR="000B6743">
        <w:rPr>
          <w:rFonts w:eastAsia="Times New Roman"/>
          <w:b/>
          <w:kern w:val="0"/>
          <w:sz w:val="28"/>
          <w:szCs w:val="28"/>
          <w:lang w:val="en-GB" w:eastAsia="en-US"/>
        </w:rPr>
        <w:t>/ic</w:t>
      </w:r>
      <w:r w:rsidRPr="001B57B3">
        <w:rPr>
          <w:rFonts w:eastAsia="Times New Roman"/>
          <w:b/>
          <w:kern w:val="0"/>
          <w:sz w:val="28"/>
          <w:szCs w:val="28"/>
          <w:lang w:val="en-GB" w:eastAsia="en-US"/>
        </w:rPr>
        <w:t xml:space="preserve"> metal(loid) oxide surfaces: Potential applications for</w:t>
      </w:r>
      <w:r w:rsidR="00B24010">
        <w:rPr>
          <w:rFonts w:eastAsia="Times New Roman"/>
          <w:b/>
          <w:kern w:val="0"/>
          <w:sz w:val="28"/>
          <w:szCs w:val="28"/>
          <w:lang w:val="en-GB" w:eastAsia="en-US"/>
        </w:rPr>
        <w:t xml:space="preserve"> </w:t>
      </w:r>
      <w:r w:rsidRPr="001B57B3">
        <w:rPr>
          <w:rFonts w:eastAsia="Times New Roman"/>
          <w:b/>
          <w:kern w:val="0"/>
          <w:sz w:val="28"/>
          <w:szCs w:val="28"/>
          <w:lang w:val="en-GB" w:eastAsia="en-US"/>
        </w:rPr>
        <w:t>water treatment and beyond</w:t>
      </w:r>
    </w:p>
    <w:p w14:paraId="0288AC1E" w14:textId="12043139" w:rsidR="00163D6E" w:rsidRPr="000C0411" w:rsidRDefault="003C2459" w:rsidP="00ED086E">
      <w:pPr>
        <w:tabs>
          <w:tab w:val="left" w:pos="-879"/>
          <w:tab w:val="left" w:pos="0"/>
          <w:tab w:val="left" w:pos="788"/>
          <w:tab w:val="left" w:pos="1627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autoSpaceDE w:val="0"/>
        <w:autoSpaceDN w:val="0"/>
        <w:adjustRightInd w:val="0"/>
        <w:snapToGrid w:val="0"/>
        <w:spacing w:after="120"/>
        <w:jc w:val="center"/>
        <w:rPr>
          <w:bCs/>
          <w:kern w:val="0"/>
          <w:sz w:val="24"/>
          <w:lang w:val="en-GB"/>
        </w:rPr>
      </w:pPr>
      <w:r w:rsidRPr="000C0411">
        <w:rPr>
          <w:rFonts w:eastAsia="Times New Roman"/>
          <w:bCs/>
          <w:kern w:val="0"/>
          <w:sz w:val="24"/>
          <w:lang w:val="en-GB" w:eastAsia="en-US"/>
        </w:rPr>
        <w:t>Sin-Yi Liou</w:t>
      </w:r>
      <w:r w:rsidRPr="000C0411">
        <w:rPr>
          <w:rFonts w:eastAsia="Times New Roman"/>
          <w:bCs/>
          <w:kern w:val="0"/>
          <w:sz w:val="24"/>
          <w:vertAlign w:val="superscript"/>
          <w:lang w:val="en-GB" w:eastAsia="en-US"/>
        </w:rPr>
        <w:t>1,</w:t>
      </w:r>
      <w:r w:rsidR="00163D6E" w:rsidRPr="000C0411">
        <w:rPr>
          <w:rFonts w:eastAsia="Times New Roman"/>
          <w:bCs/>
          <w:kern w:val="0"/>
          <w:sz w:val="24"/>
          <w:vertAlign w:val="superscript"/>
          <w:lang w:val="en-GB" w:eastAsia="en-US"/>
        </w:rPr>
        <w:t>2</w:t>
      </w:r>
      <w:r w:rsidRPr="000C0411">
        <w:rPr>
          <w:rFonts w:eastAsia="Times New Roman"/>
          <w:bCs/>
          <w:kern w:val="0"/>
          <w:sz w:val="24"/>
          <w:lang w:val="en-GB" w:eastAsia="en-US"/>
        </w:rPr>
        <w:t>, Chu-Ching Lin</w:t>
      </w:r>
      <w:r w:rsidRPr="000C0411">
        <w:rPr>
          <w:rFonts w:eastAsia="Times New Roman"/>
          <w:bCs/>
          <w:kern w:val="0"/>
          <w:sz w:val="24"/>
          <w:vertAlign w:val="superscript"/>
          <w:lang w:val="en-GB" w:eastAsia="en-US"/>
        </w:rPr>
        <w:t>1,3</w:t>
      </w:r>
      <w:r w:rsidRPr="000C0411">
        <w:rPr>
          <w:rFonts w:eastAsia="Times New Roman"/>
          <w:bCs/>
          <w:kern w:val="0"/>
          <w:sz w:val="24"/>
          <w:lang w:val="en-GB" w:eastAsia="en-US"/>
        </w:rPr>
        <w:t xml:space="preserve">, </w:t>
      </w:r>
      <w:r w:rsidRPr="000C0411">
        <w:rPr>
          <w:rFonts w:eastAsia="DengXian"/>
          <w:bCs/>
          <w:kern w:val="0"/>
          <w:sz w:val="24"/>
          <w:lang w:val="en-GB"/>
        </w:rPr>
        <w:t>Michael C. Dodd</w:t>
      </w:r>
      <w:r w:rsidRPr="000C0411">
        <w:rPr>
          <w:rFonts w:eastAsia="Times New Roman"/>
          <w:bCs/>
          <w:kern w:val="0"/>
          <w:sz w:val="24"/>
          <w:vertAlign w:val="superscript"/>
          <w:lang w:val="en-GB" w:eastAsia="en-US"/>
        </w:rPr>
        <w:t>1*</w:t>
      </w:r>
    </w:p>
    <w:p w14:paraId="38181539" w14:textId="6B50DA08" w:rsidR="005E07AB" w:rsidRPr="000C0411" w:rsidRDefault="00163D6E" w:rsidP="00ED086E">
      <w:pPr>
        <w:tabs>
          <w:tab w:val="left" w:pos="-879"/>
          <w:tab w:val="left" w:pos="0"/>
          <w:tab w:val="left" w:pos="788"/>
          <w:tab w:val="left" w:pos="1627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autoSpaceDE w:val="0"/>
        <w:autoSpaceDN w:val="0"/>
        <w:adjustRightInd w:val="0"/>
        <w:snapToGrid w:val="0"/>
        <w:spacing w:after="120"/>
        <w:jc w:val="center"/>
        <w:outlineLvl w:val="0"/>
        <w:rPr>
          <w:kern w:val="0"/>
          <w:sz w:val="24"/>
          <w:lang w:val="en-GB"/>
        </w:rPr>
      </w:pPr>
      <w:r w:rsidRPr="001A2822">
        <w:rPr>
          <w:b/>
          <w:kern w:val="0"/>
          <w:sz w:val="24"/>
        </w:rPr>
        <w:t>(</w:t>
      </w:r>
      <w:r w:rsidRPr="001A2822">
        <w:rPr>
          <w:b/>
          <w:kern w:val="0"/>
          <w:sz w:val="24"/>
          <w:vertAlign w:val="superscript"/>
          <w:lang w:val="en-GB"/>
        </w:rPr>
        <w:t>1</w:t>
      </w:r>
      <w:r w:rsidR="003C2459" w:rsidRPr="001A2822">
        <w:rPr>
          <w:rFonts w:eastAsia="Times New Roman"/>
          <w:kern w:val="0"/>
          <w:sz w:val="24"/>
          <w:lang w:val="en-GB" w:eastAsia="en-US"/>
        </w:rPr>
        <w:t>University of Washington</w:t>
      </w:r>
      <w:r w:rsidRPr="001A2822">
        <w:rPr>
          <w:rFonts w:eastAsia="Times New Roman"/>
          <w:kern w:val="0"/>
          <w:sz w:val="24"/>
          <w:lang w:val="en-GB" w:eastAsia="en-US"/>
        </w:rPr>
        <w:t xml:space="preserve">, </w:t>
      </w:r>
      <w:r w:rsidR="003C2459" w:rsidRPr="001A2822">
        <w:rPr>
          <w:rFonts w:eastAsia="Times New Roman"/>
          <w:kern w:val="0"/>
          <w:sz w:val="24"/>
          <w:lang w:val="en-GB" w:eastAsia="en-US"/>
        </w:rPr>
        <w:t>Seattle</w:t>
      </w:r>
      <w:r w:rsidRPr="001A2822">
        <w:rPr>
          <w:rFonts w:eastAsia="Times New Roman"/>
          <w:kern w:val="0"/>
          <w:sz w:val="24"/>
          <w:lang w:val="en-GB" w:eastAsia="en-US"/>
        </w:rPr>
        <w:t xml:space="preserve">, </w:t>
      </w:r>
      <w:r w:rsidR="003C2459" w:rsidRPr="001A2822">
        <w:rPr>
          <w:rFonts w:eastAsia="Times New Roman"/>
          <w:kern w:val="0"/>
          <w:sz w:val="24"/>
          <w:lang w:val="en-GB" w:eastAsia="en-US"/>
        </w:rPr>
        <w:t>WA</w:t>
      </w:r>
      <w:r w:rsidRPr="001A2822">
        <w:rPr>
          <w:rFonts w:eastAsia="Times New Roman"/>
          <w:kern w:val="0"/>
          <w:sz w:val="24"/>
          <w:lang w:val="en-GB" w:eastAsia="en-US"/>
        </w:rPr>
        <w:t xml:space="preserve">, </w:t>
      </w:r>
      <w:r w:rsidR="003C2459" w:rsidRPr="001A2822">
        <w:rPr>
          <w:rFonts w:eastAsia="Times New Roman"/>
          <w:kern w:val="0"/>
          <w:sz w:val="24"/>
          <w:lang w:val="en-GB" w:eastAsia="en-US"/>
        </w:rPr>
        <w:t>USA</w:t>
      </w:r>
      <w:r w:rsidRPr="001A2822">
        <w:rPr>
          <w:kern w:val="0"/>
          <w:sz w:val="24"/>
        </w:rPr>
        <w:t xml:space="preserve">; </w:t>
      </w:r>
      <w:r w:rsidRPr="001A2822">
        <w:rPr>
          <w:kern w:val="0"/>
          <w:sz w:val="24"/>
          <w:vertAlign w:val="superscript"/>
          <w:lang w:val="en-GB"/>
        </w:rPr>
        <w:t>2</w:t>
      </w:r>
      <w:r w:rsidR="003C2459" w:rsidRPr="001A2822">
        <w:rPr>
          <w:rFonts w:eastAsia="Times New Roman"/>
          <w:kern w:val="0"/>
          <w:sz w:val="24"/>
          <w:lang w:val="en-GB" w:eastAsia="en-US"/>
        </w:rPr>
        <w:t>Gwangju Institute of Science and Technology</w:t>
      </w:r>
      <w:r w:rsidRPr="001A2822">
        <w:rPr>
          <w:rFonts w:eastAsia="Times New Roman"/>
          <w:kern w:val="0"/>
          <w:sz w:val="24"/>
          <w:lang w:val="en-GB" w:eastAsia="en-US"/>
        </w:rPr>
        <w:t xml:space="preserve">, </w:t>
      </w:r>
      <w:r w:rsidR="003C2459" w:rsidRPr="001A2822">
        <w:rPr>
          <w:rFonts w:eastAsia="Times New Roman"/>
          <w:kern w:val="0"/>
          <w:sz w:val="24"/>
          <w:lang w:val="en-GB" w:eastAsia="en-US"/>
        </w:rPr>
        <w:t>Gwangju</w:t>
      </w:r>
      <w:r w:rsidRPr="001A2822">
        <w:rPr>
          <w:rFonts w:eastAsia="Times New Roman"/>
          <w:kern w:val="0"/>
          <w:sz w:val="24"/>
          <w:lang w:val="en-GB" w:eastAsia="en-US"/>
        </w:rPr>
        <w:t xml:space="preserve">, </w:t>
      </w:r>
      <w:r w:rsidR="003C2459" w:rsidRPr="001A2822">
        <w:rPr>
          <w:rFonts w:eastAsia="Times New Roman"/>
          <w:kern w:val="0"/>
          <w:sz w:val="24"/>
          <w:lang w:val="en-GB" w:eastAsia="en-US"/>
        </w:rPr>
        <w:t xml:space="preserve">South Korea; </w:t>
      </w:r>
      <w:r w:rsidR="003C2459" w:rsidRPr="001A2822">
        <w:rPr>
          <w:rFonts w:eastAsia="Times New Roman"/>
          <w:kern w:val="0"/>
          <w:sz w:val="24"/>
          <w:vertAlign w:val="superscript"/>
          <w:lang w:val="en-GB" w:eastAsia="en-US"/>
        </w:rPr>
        <w:t>3</w:t>
      </w:r>
      <w:r w:rsidR="003C2459" w:rsidRPr="001A2822">
        <w:rPr>
          <w:rFonts w:eastAsia="Times New Roman"/>
          <w:kern w:val="0"/>
          <w:sz w:val="24"/>
          <w:lang w:val="en-GB" w:eastAsia="en-US"/>
        </w:rPr>
        <w:t xml:space="preserve">National Central University, </w:t>
      </w:r>
      <w:r w:rsidR="000721C4" w:rsidRPr="001A2822">
        <w:rPr>
          <w:rFonts w:eastAsia="Times New Roman"/>
          <w:kern w:val="0"/>
          <w:sz w:val="24"/>
          <w:lang w:val="en-GB" w:eastAsia="en-US"/>
        </w:rPr>
        <w:t>Taoyuan City, Taiwan</w:t>
      </w:r>
      <w:r w:rsidRPr="001A2822">
        <w:rPr>
          <w:kern w:val="0"/>
          <w:sz w:val="24"/>
        </w:rPr>
        <w:t>)</w:t>
      </w:r>
    </w:p>
    <w:p w14:paraId="2C0C6434" w14:textId="01E48D94" w:rsidR="001A2822" w:rsidRPr="00795EF5" w:rsidRDefault="00163D6E" w:rsidP="00ED086E">
      <w:pPr>
        <w:snapToGrid w:val="0"/>
        <w:spacing w:after="120"/>
        <w:rPr>
          <w:sz w:val="24"/>
        </w:rPr>
      </w:pPr>
      <w:r w:rsidRPr="001A2822">
        <w:rPr>
          <w:b/>
          <w:sz w:val="24"/>
        </w:rPr>
        <w:t xml:space="preserve">Presenting Author: </w:t>
      </w:r>
      <w:r w:rsidR="003C2459" w:rsidRPr="001A2822">
        <w:rPr>
          <w:sz w:val="24"/>
        </w:rPr>
        <w:t>Michael C. Dodd</w:t>
      </w:r>
    </w:p>
    <w:p w14:paraId="56B1F095" w14:textId="6FCADB16" w:rsidR="001A2822" w:rsidRPr="005F32FC" w:rsidRDefault="00163D6E" w:rsidP="00ED086E">
      <w:pPr>
        <w:tabs>
          <w:tab w:val="left" w:pos="-879"/>
          <w:tab w:val="left" w:pos="0"/>
          <w:tab w:val="left" w:pos="788"/>
          <w:tab w:val="left" w:pos="1627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napToGrid w:val="0"/>
        <w:spacing w:after="120"/>
        <w:ind w:right="851"/>
        <w:outlineLvl w:val="0"/>
        <w:rPr>
          <w:rFonts w:eastAsia="Times New Roman"/>
          <w:kern w:val="0"/>
          <w:sz w:val="24"/>
          <w:lang w:val="en-GB" w:eastAsia="en-US"/>
        </w:rPr>
      </w:pPr>
      <w:r w:rsidRPr="005F32FC">
        <w:rPr>
          <w:b/>
          <w:bCs/>
          <w:sz w:val="24"/>
        </w:rPr>
        <w:t xml:space="preserve">Keywords: </w:t>
      </w:r>
      <w:r w:rsidR="001A2822" w:rsidRPr="005F32FC">
        <w:rPr>
          <w:rFonts w:eastAsia="Times New Roman"/>
          <w:kern w:val="0"/>
          <w:sz w:val="24"/>
          <w:lang w:val="en-GB" w:eastAsia="en-US"/>
        </w:rPr>
        <w:t>Zirconium oxide, cerium oxide, reactive oxygen species, reactive chlorine</w:t>
      </w:r>
      <w:r w:rsidR="005F32FC" w:rsidRPr="005F32FC">
        <w:rPr>
          <w:rFonts w:eastAsia="Times New Roman"/>
          <w:kern w:val="0"/>
          <w:sz w:val="24"/>
          <w:lang w:val="en-GB" w:eastAsia="en-US"/>
        </w:rPr>
        <w:t xml:space="preserve"> </w:t>
      </w:r>
      <w:r w:rsidR="001A2822" w:rsidRPr="005F32FC">
        <w:rPr>
          <w:rFonts w:eastAsia="Times New Roman"/>
          <w:kern w:val="0"/>
          <w:sz w:val="24"/>
          <w:lang w:val="en-GB" w:eastAsia="en-US"/>
        </w:rPr>
        <w:t>species, oxidation, disinfectio</w:t>
      </w:r>
      <w:r w:rsidR="005F32FC" w:rsidRPr="005F32FC">
        <w:rPr>
          <w:rFonts w:eastAsia="Times New Roman"/>
          <w:kern w:val="0"/>
          <w:sz w:val="24"/>
          <w:lang w:val="en-GB" w:eastAsia="en-US"/>
        </w:rPr>
        <w:t>n</w:t>
      </w:r>
    </w:p>
    <w:p w14:paraId="24237F71" w14:textId="726CE59F" w:rsidR="00163D6E" w:rsidRPr="001A2822" w:rsidRDefault="00163D6E" w:rsidP="00ED086E">
      <w:pPr>
        <w:tabs>
          <w:tab w:val="left" w:pos="-879"/>
          <w:tab w:val="left" w:pos="0"/>
          <w:tab w:val="left" w:pos="788"/>
          <w:tab w:val="left" w:pos="1627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napToGrid w:val="0"/>
        <w:spacing w:after="120"/>
        <w:ind w:right="851"/>
        <w:outlineLvl w:val="0"/>
        <w:rPr>
          <w:b/>
          <w:bCs/>
          <w:sz w:val="24"/>
        </w:rPr>
      </w:pPr>
      <w:r w:rsidRPr="001A2822">
        <w:rPr>
          <w:b/>
          <w:bCs/>
          <w:sz w:val="24"/>
        </w:rPr>
        <w:t>Introduction</w:t>
      </w:r>
    </w:p>
    <w:p w14:paraId="2B7A0C0C" w14:textId="6BFC9C3B" w:rsidR="005F32FC" w:rsidRDefault="001A2822" w:rsidP="00ED086E">
      <w:pPr>
        <w:adjustRightInd w:val="0"/>
        <w:snapToGrid w:val="0"/>
        <w:ind w:firstLineChars="117" w:firstLine="281"/>
        <w:rPr>
          <w:color w:val="000000"/>
          <w:sz w:val="24"/>
        </w:rPr>
      </w:pPr>
      <w:r>
        <w:rPr>
          <w:color w:val="000000"/>
          <w:sz w:val="24"/>
        </w:rPr>
        <w:t>Hydrogen peroxide (H</w:t>
      </w:r>
      <w:r w:rsidRPr="00A22CC2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>O</w:t>
      </w:r>
      <w:r w:rsidRPr="00A22CC2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 xml:space="preserve">) and free available chlorine (FAC) are widely used </w:t>
      </w:r>
      <w:r w:rsidR="00A22CC2">
        <w:rPr>
          <w:color w:val="000000"/>
          <w:sz w:val="24"/>
        </w:rPr>
        <w:t>in water and wastewater treatment as oxidants in their own right, or as sources of more reactive oxidants such as hydroxyl radical (HO</w:t>
      </w:r>
      <w:r w:rsidR="00A22CC2" w:rsidRPr="00A22CC2">
        <w:rPr>
          <w:color w:val="000000"/>
          <w:sz w:val="24"/>
          <w:vertAlign w:val="superscript"/>
        </w:rPr>
        <w:t>•</w:t>
      </w:r>
      <w:r w:rsidR="00A22CC2">
        <w:rPr>
          <w:color w:val="000000"/>
          <w:sz w:val="24"/>
        </w:rPr>
        <w:t>), chlorine radical (Cl</w:t>
      </w:r>
      <w:r w:rsidR="00A22CC2" w:rsidRPr="00A22CC2">
        <w:rPr>
          <w:color w:val="000000"/>
          <w:sz w:val="24"/>
          <w:vertAlign w:val="superscript"/>
        </w:rPr>
        <w:t>•</w:t>
      </w:r>
      <w:r w:rsidR="00A22CC2">
        <w:rPr>
          <w:color w:val="000000"/>
          <w:sz w:val="24"/>
        </w:rPr>
        <w:t>), chlorine monoxide radical (ClO</w:t>
      </w:r>
      <w:r w:rsidR="00A22CC2" w:rsidRPr="00A22CC2">
        <w:rPr>
          <w:color w:val="000000"/>
          <w:sz w:val="24"/>
          <w:vertAlign w:val="superscript"/>
        </w:rPr>
        <w:t>•</w:t>
      </w:r>
      <w:r w:rsidR="00A22CC2">
        <w:rPr>
          <w:color w:val="000000"/>
          <w:sz w:val="24"/>
        </w:rPr>
        <w:t>), or dichloride radical (Cl</w:t>
      </w:r>
      <w:r w:rsidR="00A22CC2" w:rsidRPr="00A22CC2">
        <w:rPr>
          <w:color w:val="000000"/>
          <w:sz w:val="24"/>
          <w:vertAlign w:val="subscript"/>
        </w:rPr>
        <w:t>2</w:t>
      </w:r>
      <w:r w:rsidR="00A22CC2" w:rsidRPr="00A22CC2">
        <w:rPr>
          <w:color w:val="000000"/>
          <w:sz w:val="24"/>
          <w:vertAlign w:val="superscript"/>
        </w:rPr>
        <w:t>•–</w:t>
      </w:r>
      <w:r w:rsidR="00A22CC2">
        <w:rPr>
          <w:color w:val="000000"/>
          <w:sz w:val="24"/>
        </w:rPr>
        <w:t>) in advanced oxidation and disinfection processes. Conventional approaches for the "activation" of H</w:t>
      </w:r>
      <w:r w:rsidR="00A22CC2" w:rsidRPr="00A22CC2">
        <w:rPr>
          <w:color w:val="000000"/>
          <w:sz w:val="24"/>
          <w:vertAlign w:val="subscript"/>
        </w:rPr>
        <w:t>2</w:t>
      </w:r>
      <w:r w:rsidR="00A22CC2">
        <w:rPr>
          <w:color w:val="000000"/>
          <w:sz w:val="24"/>
        </w:rPr>
        <w:t>O</w:t>
      </w:r>
      <w:r w:rsidR="00A22CC2" w:rsidRPr="00A22CC2">
        <w:rPr>
          <w:color w:val="000000"/>
          <w:sz w:val="24"/>
          <w:vertAlign w:val="subscript"/>
        </w:rPr>
        <w:t>2</w:t>
      </w:r>
      <w:r w:rsidR="00A22CC2">
        <w:rPr>
          <w:color w:val="000000"/>
          <w:sz w:val="24"/>
        </w:rPr>
        <w:t xml:space="preserve"> or FAC to more reactive oxygen </w:t>
      </w:r>
      <w:r w:rsidR="005F32FC">
        <w:rPr>
          <w:color w:val="000000"/>
          <w:sz w:val="24"/>
        </w:rPr>
        <w:t xml:space="preserve">species (ROS) </w:t>
      </w:r>
      <w:r w:rsidR="00A22CC2">
        <w:rPr>
          <w:color w:val="000000"/>
          <w:sz w:val="24"/>
        </w:rPr>
        <w:t xml:space="preserve">or </w:t>
      </w:r>
      <w:r w:rsidR="005F32FC">
        <w:rPr>
          <w:color w:val="000000"/>
          <w:sz w:val="24"/>
        </w:rPr>
        <w:t xml:space="preserve">reactive </w:t>
      </w:r>
      <w:r w:rsidR="00A22CC2">
        <w:rPr>
          <w:color w:val="000000"/>
          <w:sz w:val="24"/>
        </w:rPr>
        <w:t>chlorine species</w:t>
      </w:r>
      <w:r w:rsidR="005F32FC">
        <w:rPr>
          <w:color w:val="000000"/>
          <w:sz w:val="24"/>
        </w:rPr>
        <w:t xml:space="preserve"> (RCS)</w:t>
      </w:r>
      <w:r w:rsidR="00A22CC2">
        <w:rPr>
          <w:color w:val="000000"/>
          <w:sz w:val="24"/>
        </w:rPr>
        <w:t xml:space="preserve"> typically rely on UV photolysis or reactions with transition metals such as Fe</w:t>
      </w:r>
      <w:r w:rsidR="00A22CC2" w:rsidRPr="00A22CC2">
        <w:rPr>
          <w:color w:val="000000"/>
          <w:sz w:val="24"/>
          <w:vertAlign w:val="superscript"/>
        </w:rPr>
        <w:t>2+</w:t>
      </w:r>
      <w:r w:rsidR="00A22CC2">
        <w:rPr>
          <w:color w:val="000000"/>
          <w:sz w:val="24"/>
        </w:rPr>
        <w:t>/Fe</w:t>
      </w:r>
      <w:r w:rsidR="00A22CC2" w:rsidRPr="00A22CC2">
        <w:rPr>
          <w:color w:val="000000"/>
          <w:sz w:val="24"/>
          <w:vertAlign w:val="superscript"/>
        </w:rPr>
        <w:t>3+</w:t>
      </w:r>
      <w:r w:rsidR="00A22CC2">
        <w:rPr>
          <w:color w:val="000000"/>
          <w:sz w:val="24"/>
        </w:rPr>
        <w:t xml:space="preserve"> and Cu</w:t>
      </w:r>
      <w:r w:rsidR="00A22CC2" w:rsidRPr="00A22CC2">
        <w:rPr>
          <w:color w:val="000000"/>
          <w:sz w:val="24"/>
          <w:vertAlign w:val="superscript"/>
        </w:rPr>
        <w:t>+</w:t>
      </w:r>
      <w:r w:rsidR="00A22CC2">
        <w:rPr>
          <w:color w:val="000000"/>
          <w:sz w:val="24"/>
        </w:rPr>
        <w:t>/Cu</w:t>
      </w:r>
      <w:r w:rsidR="00A22CC2" w:rsidRPr="00A22CC2">
        <w:rPr>
          <w:color w:val="000000"/>
          <w:sz w:val="24"/>
          <w:vertAlign w:val="superscript"/>
        </w:rPr>
        <w:t>2+</w:t>
      </w:r>
      <w:r w:rsidR="00A22CC2">
        <w:rPr>
          <w:color w:val="000000"/>
          <w:sz w:val="24"/>
        </w:rPr>
        <w:t xml:space="preserve"> (e.g., in Fenton- and Fenton-like systems).</w:t>
      </w:r>
    </w:p>
    <w:p w14:paraId="12934FDA" w14:textId="42289D06" w:rsidR="001A2822" w:rsidRPr="00795EF5" w:rsidRDefault="00A22CC2" w:rsidP="00ED086E">
      <w:pPr>
        <w:adjustRightInd w:val="0"/>
        <w:snapToGrid w:val="0"/>
        <w:spacing w:after="120"/>
        <w:ind w:firstLineChars="117" w:firstLine="281"/>
        <w:rPr>
          <w:color w:val="000000"/>
          <w:sz w:val="24"/>
        </w:rPr>
      </w:pPr>
      <w:r>
        <w:rPr>
          <w:color w:val="000000"/>
          <w:sz w:val="24"/>
        </w:rPr>
        <w:t xml:space="preserve">As </w:t>
      </w:r>
      <w:r w:rsidR="004D6A63">
        <w:rPr>
          <w:color w:val="000000"/>
          <w:sz w:val="24"/>
        </w:rPr>
        <w:t xml:space="preserve">potential non-photochemical </w:t>
      </w:r>
      <w:r>
        <w:rPr>
          <w:color w:val="000000"/>
          <w:sz w:val="24"/>
        </w:rPr>
        <w:t xml:space="preserve">alternatives to these more conventional approaches, we have investigated the use of non-ferrous/ic and non-cuprous/ic metal(loid) oxide </w:t>
      </w:r>
      <w:r w:rsidR="00795EF5">
        <w:rPr>
          <w:color w:val="000000"/>
          <w:sz w:val="24"/>
        </w:rPr>
        <w:t xml:space="preserve">(MeOx) </w:t>
      </w:r>
      <w:r>
        <w:rPr>
          <w:color w:val="000000"/>
          <w:sz w:val="24"/>
        </w:rPr>
        <w:t>phases including crystalline</w:t>
      </w:r>
      <w:r w:rsidR="00795EF5">
        <w:rPr>
          <w:color w:val="000000"/>
          <w:sz w:val="24"/>
        </w:rPr>
        <w:t>/monoclinic</w:t>
      </w:r>
      <w:r>
        <w:rPr>
          <w:color w:val="000000"/>
          <w:sz w:val="24"/>
        </w:rPr>
        <w:t xml:space="preserve"> </w:t>
      </w:r>
      <w:r w:rsidR="00795EF5">
        <w:rPr>
          <w:color w:val="000000"/>
          <w:sz w:val="24"/>
        </w:rPr>
        <w:t>(m-ZrO</w:t>
      </w:r>
      <w:r w:rsidR="00795EF5" w:rsidRPr="00795EF5">
        <w:rPr>
          <w:color w:val="000000"/>
          <w:sz w:val="24"/>
          <w:vertAlign w:val="subscript"/>
        </w:rPr>
        <w:t>2</w:t>
      </w:r>
      <w:r w:rsidR="00795EF5">
        <w:rPr>
          <w:color w:val="000000"/>
          <w:sz w:val="24"/>
        </w:rPr>
        <w:t xml:space="preserve">) </w:t>
      </w:r>
      <w:r>
        <w:rPr>
          <w:color w:val="000000"/>
          <w:sz w:val="24"/>
        </w:rPr>
        <w:t>and amorphous zirconium oxide</w:t>
      </w:r>
      <w:r w:rsidR="00795EF5">
        <w:rPr>
          <w:color w:val="000000"/>
          <w:sz w:val="24"/>
        </w:rPr>
        <w:t xml:space="preserve"> (a-ZrO</w:t>
      </w:r>
      <w:r w:rsidR="00795EF5" w:rsidRPr="00795EF5">
        <w:rPr>
          <w:color w:val="000000"/>
          <w:sz w:val="24"/>
          <w:vertAlign w:val="subscript"/>
        </w:rPr>
        <w:t>2</w:t>
      </w:r>
      <w:r w:rsidR="00795EF5">
        <w:rPr>
          <w:color w:val="000000"/>
          <w:sz w:val="24"/>
        </w:rPr>
        <w:t>)</w:t>
      </w:r>
      <w:r>
        <w:rPr>
          <w:color w:val="000000"/>
          <w:sz w:val="24"/>
        </w:rPr>
        <w:t>, cerium oxide</w:t>
      </w:r>
      <w:r w:rsidR="00795EF5">
        <w:rPr>
          <w:color w:val="000000"/>
          <w:sz w:val="24"/>
        </w:rPr>
        <w:t xml:space="preserve"> (CeO</w:t>
      </w:r>
      <w:r w:rsidR="00795EF5" w:rsidRPr="00795EF5">
        <w:rPr>
          <w:color w:val="000000"/>
          <w:sz w:val="24"/>
          <w:vertAlign w:val="subscript"/>
        </w:rPr>
        <w:t>2</w:t>
      </w:r>
      <w:r w:rsidR="00795EF5">
        <w:rPr>
          <w:color w:val="000000"/>
          <w:sz w:val="24"/>
        </w:rPr>
        <w:t>)</w:t>
      </w:r>
      <w:r>
        <w:rPr>
          <w:color w:val="000000"/>
          <w:sz w:val="24"/>
        </w:rPr>
        <w:t>, titanium oxide</w:t>
      </w:r>
      <w:r w:rsidR="00795EF5">
        <w:rPr>
          <w:color w:val="000000"/>
          <w:sz w:val="24"/>
        </w:rPr>
        <w:t xml:space="preserve"> (TiO</w:t>
      </w:r>
      <w:r w:rsidR="00795EF5" w:rsidRPr="00795EF5">
        <w:rPr>
          <w:color w:val="000000"/>
          <w:sz w:val="24"/>
          <w:vertAlign w:val="subscript"/>
        </w:rPr>
        <w:t>2</w:t>
      </w:r>
      <w:r w:rsidR="00795EF5">
        <w:rPr>
          <w:color w:val="000000"/>
          <w:sz w:val="24"/>
        </w:rPr>
        <w:t>)</w:t>
      </w:r>
      <w:r>
        <w:rPr>
          <w:color w:val="000000"/>
          <w:sz w:val="24"/>
        </w:rPr>
        <w:t>, silicon oxide</w:t>
      </w:r>
      <w:r w:rsidR="00795EF5">
        <w:rPr>
          <w:color w:val="000000"/>
          <w:sz w:val="24"/>
        </w:rPr>
        <w:t xml:space="preserve"> (SiO</w:t>
      </w:r>
      <w:r w:rsidR="00795EF5" w:rsidRPr="00795EF5">
        <w:rPr>
          <w:color w:val="000000"/>
          <w:sz w:val="24"/>
          <w:vertAlign w:val="subscript"/>
        </w:rPr>
        <w:t>2</w:t>
      </w:r>
      <w:r w:rsidR="00795EF5">
        <w:rPr>
          <w:color w:val="000000"/>
          <w:sz w:val="24"/>
        </w:rPr>
        <w:t>)</w:t>
      </w:r>
      <w:r>
        <w:rPr>
          <w:color w:val="000000"/>
          <w:sz w:val="24"/>
        </w:rPr>
        <w:t>, and aluminum oxide</w:t>
      </w:r>
      <w:r w:rsidR="00795EF5">
        <w:rPr>
          <w:color w:val="000000"/>
          <w:sz w:val="24"/>
        </w:rPr>
        <w:t xml:space="preserve"> (Al</w:t>
      </w:r>
      <w:r w:rsidR="00DB58DE" w:rsidRPr="00DB58DE">
        <w:rPr>
          <w:color w:val="000000"/>
          <w:sz w:val="24"/>
          <w:vertAlign w:val="subscript"/>
        </w:rPr>
        <w:t>2</w:t>
      </w:r>
      <w:r w:rsidR="00795EF5">
        <w:rPr>
          <w:color w:val="000000"/>
          <w:sz w:val="24"/>
        </w:rPr>
        <w:t>O</w:t>
      </w:r>
      <w:r w:rsidR="00DB58DE">
        <w:rPr>
          <w:color w:val="000000"/>
          <w:sz w:val="24"/>
          <w:vertAlign w:val="subscript"/>
        </w:rPr>
        <w:t>3</w:t>
      </w:r>
      <w:r w:rsidR="00795EF5">
        <w:rPr>
          <w:color w:val="000000"/>
          <w:sz w:val="24"/>
        </w:rPr>
        <w:t>)</w:t>
      </w:r>
      <w:r w:rsidR="004D6A63">
        <w:rPr>
          <w:color w:val="000000"/>
          <w:sz w:val="24"/>
        </w:rPr>
        <w:t xml:space="preserve"> as heterogenous catalysts for the dark activation of H</w:t>
      </w:r>
      <w:r w:rsidR="004D6A63" w:rsidRPr="004D6A63">
        <w:rPr>
          <w:color w:val="000000"/>
          <w:sz w:val="24"/>
          <w:vertAlign w:val="subscript"/>
        </w:rPr>
        <w:t>2</w:t>
      </w:r>
      <w:r w:rsidR="004D6A63">
        <w:rPr>
          <w:color w:val="000000"/>
          <w:sz w:val="24"/>
        </w:rPr>
        <w:t>O</w:t>
      </w:r>
      <w:r w:rsidR="004D6A63" w:rsidRPr="004D6A63">
        <w:rPr>
          <w:color w:val="000000"/>
          <w:sz w:val="24"/>
          <w:vertAlign w:val="subscript"/>
        </w:rPr>
        <w:t>2</w:t>
      </w:r>
      <w:r w:rsidR="004D6A63">
        <w:rPr>
          <w:color w:val="000000"/>
          <w:sz w:val="24"/>
        </w:rPr>
        <w:t xml:space="preserve"> and FAC in aqueous suspensions and pre-coat filtration systems.</w:t>
      </w:r>
      <w:r w:rsidR="00795EF5">
        <w:rPr>
          <w:color w:val="000000"/>
          <w:sz w:val="24"/>
        </w:rPr>
        <w:t xml:space="preserve"> As a </w:t>
      </w:r>
      <w:r w:rsidR="00585FCE">
        <w:rPr>
          <w:color w:val="000000"/>
          <w:sz w:val="24"/>
        </w:rPr>
        <w:t xml:space="preserve">directly </w:t>
      </w:r>
      <w:r w:rsidR="00795EF5">
        <w:rPr>
          <w:color w:val="000000"/>
          <w:sz w:val="24"/>
        </w:rPr>
        <w:t xml:space="preserve">related aim, we have </w:t>
      </w:r>
      <w:r w:rsidR="008F35B8">
        <w:rPr>
          <w:color w:val="000000"/>
          <w:sz w:val="24"/>
        </w:rPr>
        <w:t xml:space="preserve">also </w:t>
      </w:r>
      <w:r w:rsidR="00795EF5">
        <w:rPr>
          <w:color w:val="000000"/>
          <w:sz w:val="24"/>
        </w:rPr>
        <w:t xml:space="preserve">evaluated the potential use of each MeOx </w:t>
      </w:r>
      <w:r w:rsidR="00585FCE">
        <w:rPr>
          <w:color w:val="000000"/>
          <w:sz w:val="24"/>
        </w:rPr>
        <w:t>for</w:t>
      </w:r>
      <w:r w:rsidR="00795EF5">
        <w:rPr>
          <w:color w:val="000000"/>
          <w:sz w:val="24"/>
        </w:rPr>
        <w:t xml:space="preserve"> quench</w:t>
      </w:r>
      <w:r w:rsidR="00585FCE">
        <w:rPr>
          <w:color w:val="000000"/>
          <w:sz w:val="24"/>
        </w:rPr>
        <w:t>ing</w:t>
      </w:r>
      <w:r w:rsidR="00795EF5">
        <w:rPr>
          <w:color w:val="000000"/>
          <w:sz w:val="24"/>
        </w:rPr>
        <w:t xml:space="preserve"> residual H</w:t>
      </w:r>
      <w:r w:rsidR="00795EF5" w:rsidRPr="00795EF5">
        <w:rPr>
          <w:color w:val="000000"/>
          <w:sz w:val="24"/>
          <w:vertAlign w:val="subscript"/>
        </w:rPr>
        <w:t>2</w:t>
      </w:r>
      <w:r w:rsidR="00795EF5">
        <w:rPr>
          <w:color w:val="000000"/>
          <w:sz w:val="24"/>
        </w:rPr>
        <w:t>O</w:t>
      </w:r>
      <w:r w:rsidR="00795EF5" w:rsidRPr="00795EF5">
        <w:rPr>
          <w:color w:val="000000"/>
          <w:sz w:val="24"/>
          <w:vertAlign w:val="subscript"/>
        </w:rPr>
        <w:t>2</w:t>
      </w:r>
      <w:r w:rsidR="00795EF5">
        <w:rPr>
          <w:color w:val="000000"/>
          <w:sz w:val="24"/>
        </w:rPr>
        <w:t xml:space="preserve"> and FAC concentrations; for example, for H</w:t>
      </w:r>
      <w:r w:rsidR="00795EF5" w:rsidRPr="00795EF5">
        <w:rPr>
          <w:color w:val="000000"/>
          <w:sz w:val="24"/>
          <w:vertAlign w:val="subscript"/>
        </w:rPr>
        <w:t>2</w:t>
      </w:r>
      <w:r w:rsidR="00795EF5">
        <w:rPr>
          <w:color w:val="000000"/>
          <w:sz w:val="24"/>
        </w:rPr>
        <w:t>O</w:t>
      </w:r>
      <w:r w:rsidR="00795EF5" w:rsidRPr="00795EF5">
        <w:rPr>
          <w:color w:val="000000"/>
          <w:sz w:val="24"/>
          <w:vertAlign w:val="subscript"/>
        </w:rPr>
        <w:t>2</w:t>
      </w:r>
      <w:r w:rsidR="00795EF5">
        <w:rPr>
          <w:color w:val="000000"/>
          <w:sz w:val="24"/>
        </w:rPr>
        <w:t xml:space="preserve"> removal following UV/H</w:t>
      </w:r>
      <w:r w:rsidR="00795EF5" w:rsidRPr="00795EF5">
        <w:rPr>
          <w:color w:val="000000"/>
          <w:sz w:val="24"/>
          <w:vertAlign w:val="subscript"/>
        </w:rPr>
        <w:t>2</w:t>
      </w:r>
      <w:r w:rsidR="00795EF5">
        <w:rPr>
          <w:color w:val="000000"/>
          <w:sz w:val="24"/>
        </w:rPr>
        <w:t>O</w:t>
      </w:r>
      <w:r w:rsidR="00795EF5" w:rsidRPr="00795EF5">
        <w:rPr>
          <w:color w:val="000000"/>
          <w:sz w:val="24"/>
          <w:vertAlign w:val="subscript"/>
        </w:rPr>
        <w:t>2</w:t>
      </w:r>
      <w:r w:rsidR="00795EF5">
        <w:rPr>
          <w:color w:val="000000"/>
          <w:sz w:val="24"/>
        </w:rPr>
        <w:t xml:space="preserve"> AOPs</w:t>
      </w:r>
      <w:r w:rsidR="003A3C44">
        <w:rPr>
          <w:color w:val="000000"/>
          <w:sz w:val="24"/>
        </w:rPr>
        <w:t>,</w:t>
      </w:r>
      <w:r w:rsidR="00795EF5">
        <w:rPr>
          <w:color w:val="000000"/>
          <w:sz w:val="24"/>
        </w:rPr>
        <w:t xml:space="preserve"> and </w:t>
      </w:r>
      <w:r w:rsidR="003A3C44">
        <w:rPr>
          <w:color w:val="000000"/>
          <w:sz w:val="24"/>
        </w:rPr>
        <w:t xml:space="preserve">for </w:t>
      </w:r>
      <w:r w:rsidR="00795EF5">
        <w:rPr>
          <w:color w:val="000000"/>
          <w:sz w:val="24"/>
        </w:rPr>
        <w:t xml:space="preserve">FAC removal from tap water </w:t>
      </w:r>
      <w:r w:rsidR="003A3C44">
        <w:rPr>
          <w:color w:val="000000"/>
          <w:sz w:val="24"/>
        </w:rPr>
        <w:t xml:space="preserve">by consumers </w:t>
      </w:r>
      <w:r w:rsidR="00795EF5">
        <w:rPr>
          <w:color w:val="000000"/>
          <w:sz w:val="24"/>
        </w:rPr>
        <w:t>at point-of-use.</w:t>
      </w:r>
      <w:r w:rsidR="005F32FC">
        <w:rPr>
          <w:color w:val="000000"/>
          <w:sz w:val="24"/>
        </w:rPr>
        <w:t xml:space="preserve"> With these broader aims in mind, primary goals of this work were to evaluate (i) kinetics of H</w:t>
      </w:r>
      <w:r w:rsidR="005F32FC" w:rsidRPr="002D607B">
        <w:rPr>
          <w:color w:val="000000"/>
          <w:sz w:val="24"/>
          <w:vertAlign w:val="subscript"/>
        </w:rPr>
        <w:t>2</w:t>
      </w:r>
      <w:r w:rsidR="005F32FC">
        <w:rPr>
          <w:color w:val="000000"/>
          <w:sz w:val="24"/>
        </w:rPr>
        <w:t>O</w:t>
      </w:r>
      <w:r w:rsidR="005F32FC" w:rsidRPr="002D607B">
        <w:rPr>
          <w:color w:val="000000"/>
          <w:sz w:val="24"/>
          <w:vertAlign w:val="subscript"/>
        </w:rPr>
        <w:t>2</w:t>
      </w:r>
      <w:r w:rsidR="005F32FC">
        <w:rPr>
          <w:color w:val="000000"/>
          <w:sz w:val="24"/>
        </w:rPr>
        <w:t xml:space="preserve"> and FAC decomposition, (ii) associated generation of ROS and RCS, and (iii) degradation and inactivation of model organic compounds and microorganisms during reactions of H</w:t>
      </w:r>
      <w:r w:rsidR="005F32FC" w:rsidRPr="005F32FC">
        <w:rPr>
          <w:color w:val="000000"/>
          <w:sz w:val="24"/>
          <w:vertAlign w:val="subscript"/>
        </w:rPr>
        <w:t>2</w:t>
      </w:r>
      <w:r w:rsidR="005F32FC">
        <w:rPr>
          <w:color w:val="000000"/>
          <w:sz w:val="24"/>
        </w:rPr>
        <w:t>O</w:t>
      </w:r>
      <w:r w:rsidR="005F32FC" w:rsidRPr="005F32FC">
        <w:rPr>
          <w:color w:val="000000"/>
          <w:sz w:val="24"/>
          <w:vertAlign w:val="subscript"/>
        </w:rPr>
        <w:t>2</w:t>
      </w:r>
      <w:r w:rsidR="005F32FC">
        <w:rPr>
          <w:color w:val="000000"/>
          <w:sz w:val="24"/>
        </w:rPr>
        <w:t xml:space="preserve"> and FAC with each MeOx.</w:t>
      </w:r>
    </w:p>
    <w:p w14:paraId="37672CCB" w14:textId="5DA15DAB" w:rsidR="00163D6E" w:rsidRPr="001A2822" w:rsidRDefault="00163D6E" w:rsidP="00ED086E">
      <w:pPr>
        <w:tabs>
          <w:tab w:val="left" w:pos="-879"/>
          <w:tab w:val="left" w:pos="0"/>
          <w:tab w:val="left" w:pos="788"/>
          <w:tab w:val="left" w:pos="1627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napToGrid w:val="0"/>
        <w:spacing w:after="120"/>
        <w:ind w:right="851"/>
        <w:outlineLvl w:val="0"/>
        <w:rPr>
          <w:b/>
          <w:bCs/>
          <w:sz w:val="24"/>
        </w:rPr>
      </w:pPr>
      <w:r w:rsidRPr="001A2822">
        <w:rPr>
          <w:b/>
          <w:bCs/>
          <w:sz w:val="24"/>
        </w:rPr>
        <w:t>Materials and Methods</w:t>
      </w:r>
    </w:p>
    <w:p w14:paraId="0C2E4137" w14:textId="4837F03D" w:rsidR="00163D6E" w:rsidRDefault="00795EF5" w:rsidP="00ED086E">
      <w:pPr>
        <w:adjustRightInd w:val="0"/>
        <w:snapToGrid w:val="0"/>
        <w:ind w:firstLineChars="117" w:firstLine="281"/>
        <w:rPr>
          <w:color w:val="000000"/>
          <w:sz w:val="24"/>
        </w:rPr>
      </w:pPr>
      <w:r>
        <w:rPr>
          <w:color w:val="000000"/>
          <w:sz w:val="24"/>
        </w:rPr>
        <w:t xml:space="preserve">All MeOx solids </w:t>
      </w:r>
      <w:r w:rsidR="005F32FC">
        <w:rPr>
          <w:color w:val="000000"/>
          <w:sz w:val="24"/>
        </w:rPr>
        <w:t xml:space="preserve">and other reagents </w:t>
      </w:r>
      <w:r>
        <w:rPr>
          <w:color w:val="000000"/>
          <w:sz w:val="24"/>
        </w:rPr>
        <w:t>were obtained from commercial sources, with the exception of a-ZrO</w:t>
      </w:r>
      <w:r w:rsidRPr="00795EF5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 xml:space="preserve">, which was synthesized </w:t>
      </w:r>
      <w:r w:rsidR="005F32FC">
        <w:rPr>
          <w:color w:val="000000"/>
          <w:sz w:val="24"/>
        </w:rPr>
        <w:t>from z</w:t>
      </w:r>
      <w:r w:rsidR="005F32FC" w:rsidRPr="005F32FC">
        <w:rPr>
          <w:color w:val="000000"/>
          <w:sz w:val="24"/>
        </w:rPr>
        <w:t>irconium dichloride oxide octahydrate (ZrOCl</w:t>
      </w:r>
      <w:r w:rsidR="005F32FC" w:rsidRPr="002D607B">
        <w:rPr>
          <w:color w:val="000000"/>
          <w:sz w:val="24"/>
          <w:vertAlign w:val="subscript"/>
        </w:rPr>
        <w:t>2</w:t>
      </w:r>
      <w:r w:rsidR="005F32FC" w:rsidRPr="005F32FC">
        <w:rPr>
          <w:color w:val="000000"/>
          <w:sz w:val="24"/>
        </w:rPr>
        <w:t>•8H</w:t>
      </w:r>
      <w:r w:rsidR="005F32FC" w:rsidRPr="002D607B">
        <w:rPr>
          <w:color w:val="000000"/>
          <w:sz w:val="24"/>
          <w:vertAlign w:val="subscript"/>
        </w:rPr>
        <w:t>2</w:t>
      </w:r>
      <w:r w:rsidR="005F32FC" w:rsidRPr="005F32FC">
        <w:rPr>
          <w:color w:val="000000"/>
          <w:sz w:val="24"/>
        </w:rPr>
        <w:t>O)</w:t>
      </w:r>
      <w:r w:rsidR="005F32FC">
        <w:rPr>
          <w:color w:val="000000"/>
          <w:sz w:val="24"/>
        </w:rPr>
        <w:t xml:space="preserve"> </w:t>
      </w:r>
      <w:r>
        <w:rPr>
          <w:color w:val="000000"/>
          <w:sz w:val="24"/>
        </w:rPr>
        <w:t>according to previously reported methods.</w:t>
      </w:r>
      <w:r w:rsidR="000261AF">
        <w:rPr>
          <w:color w:val="000000"/>
          <w:sz w:val="24"/>
        </w:rPr>
        <w:fldChar w:fldCharType="begin"/>
      </w:r>
      <w:r w:rsidR="000261AF">
        <w:rPr>
          <w:color w:val="000000"/>
          <w:sz w:val="24"/>
        </w:rPr>
        <w:instrText xml:space="preserve"> ADDIN EN.CITE &lt;EndNote&gt;&lt;Cite&gt;&lt;Author&gt;Sobanska&lt;/Author&gt;&lt;Year&gt;2017&lt;/Year&gt;&lt;RecNum&gt;3655&lt;/RecNum&gt;&lt;DisplayText&gt;&lt;style face="superscript"&gt;1&lt;/style&gt;&lt;/DisplayText&gt;&lt;record&gt;&lt;rec-number&gt;3655&lt;/rec-number&gt;&lt;foreign-keys&gt;&lt;key app="EN" db-id="2wavt2wpatt9d1edt04pvsd9ztp9rerx525p" timestamp="1771237073"&gt;3655&lt;/key&gt;&lt;/foreign-keys&gt;&lt;ref-type name="Journal Article"&gt;17&lt;/ref-type&gt;&lt;contributors&gt;&lt;authors&gt;&lt;author&gt;Sobanska, Kamila&lt;/author&gt;&lt;author&gt;Pietrzyk, Piotr&lt;/author&gt;&lt;author&gt;Sojka, Zbigniew&lt;/author&gt;&lt;/authors&gt;&lt;/contributors&gt;&lt;titles&gt;&lt;title&gt;Generation of reactive oxygen species via electroprotic interaction of H2O2 with ZrO2 gel: ionic sponge effect and pH-switchable peroxidase-and catalase-like activity&lt;/title&gt;&lt;secondary-title&gt;ACS Catalysis&lt;/secondary-title&gt;&lt;/titles&gt;&lt;periodical&gt;&lt;full-title&gt;ACS Catalysis&lt;/full-title&gt;&lt;/periodical&gt;&lt;pages&gt;2935-2947&lt;/pages&gt;&lt;volume&gt;7&lt;/volume&gt;&lt;number&gt;4&lt;/number&gt;&lt;dates&gt;&lt;year&gt;2017&lt;/year&gt;&lt;/dates&gt;&lt;isbn&gt;2155-5435&lt;/isbn&gt;&lt;urls&gt;&lt;/urls&gt;&lt;/record&gt;&lt;/Cite&gt;&lt;/EndNote&gt;</w:instrText>
      </w:r>
      <w:r w:rsidR="000261AF">
        <w:rPr>
          <w:color w:val="000000"/>
          <w:sz w:val="24"/>
        </w:rPr>
        <w:fldChar w:fldCharType="separate"/>
      </w:r>
      <w:r w:rsidR="000261AF" w:rsidRPr="000261AF">
        <w:rPr>
          <w:noProof/>
          <w:color w:val="000000"/>
          <w:sz w:val="24"/>
          <w:vertAlign w:val="superscript"/>
        </w:rPr>
        <w:t>1</w:t>
      </w:r>
      <w:r w:rsidR="000261AF">
        <w:rPr>
          <w:color w:val="000000"/>
          <w:sz w:val="24"/>
        </w:rPr>
        <w:fldChar w:fldCharType="end"/>
      </w:r>
      <w:r w:rsidR="005F32FC">
        <w:rPr>
          <w:color w:val="000000"/>
          <w:sz w:val="24"/>
        </w:rPr>
        <w:t xml:space="preserve"> Working H</w:t>
      </w:r>
      <w:r w:rsidR="005F32FC" w:rsidRPr="005F32FC">
        <w:rPr>
          <w:color w:val="000000"/>
          <w:sz w:val="24"/>
          <w:vertAlign w:val="subscript"/>
        </w:rPr>
        <w:t>2</w:t>
      </w:r>
      <w:r w:rsidR="005F32FC">
        <w:rPr>
          <w:color w:val="000000"/>
          <w:sz w:val="24"/>
        </w:rPr>
        <w:t>O</w:t>
      </w:r>
      <w:r w:rsidR="005F32FC" w:rsidRPr="005F32FC">
        <w:rPr>
          <w:color w:val="000000"/>
          <w:sz w:val="24"/>
          <w:vertAlign w:val="subscript"/>
        </w:rPr>
        <w:t>2</w:t>
      </w:r>
      <w:r w:rsidR="005F32FC">
        <w:rPr>
          <w:color w:val="000000"/>
          <w:sz w:val="24"/>
        </w:rPr>
        <w:t xml:space="preserve"> and FAC solutions were prepared from 30% w/w H</w:t>
      </w:r>
      <w:r w:rsidR="005F32FC" w:rsidRPr="005F32FC">
        <w:rPr>
          <w:color w:val="000000"/>
          <w:sz w:val="24"/>
          <w:vertAlign w:val="subscript"/>
        </w:rPr>
        <w:t>2</w:t>
      </w:r>
      <w:r w:rsidR="005F32FC">
        <w:rPr>
          <w:color w:val="000000"/>
          <w:sz w:val="24"/>
        </w:rPr>
        <w:t>O</w:t>
      </w:r>
      <w:r w:rsidR="005F32FC" w:rsidRPr="005F32FC">
        <w:rPr>
          <w:color w:val="000000"/>
          <w:sz w:val="24"/>
          <w:vertAlign w:val="subscript"/>
        </w:rPr>
        <w:t>2</w:t>
      </w:r>
      <w:r w:rsidR="005F32FC">
        <w:rPr>
          <w:color w:val="000000"/>
          <w:sz w:val="24"/>
        </w:rPr>
        <w:t xml:space="preserve"> and 4-5% w/w NaOCl. MeOx solids were characterized for particle size, specific surface area, pore volumes, and points of zero charge </w:t>
      </w:r>
      <w:r w:rsidR="00B3664C">
        <w:rPr>
          <w:color w:val="000000"/>
          <w:sz w:val="24"/>
        </w:rPr>
        <w:t>using</w:t>
      </w:r>
      <w:r w:rsidR="005F32FC">
        <w:rPr>
          <w:color w:val="000000"/>
          <w:sz w:val="24"/>
        </w:rPr>
        <w:t xml:space="preserve"> appropriate </w:t>
      </w:r>
      <w:r w:rsidR="00B3664C">
        <w:rPr>
          <w:color w:val="000000"/>
          <w:sz w:val="24"/>
        </w:rPr>
        <w:t>analytical approaches</w:t>
      </w:r>
      <w:r w:rsidR="005F32FC">
        <w:rPr>
          <w:color w:val="000000"/>
          <w:sz w:val="24"/>
        </w:rPr>
        <w:t>.</w:t>
      </w:r>
      <w:r w:rsidR="00B3664C">
        <w:rPr>
          <w:color w:val="000000"/>
          <w:sz w:val="24"/>
        </w:rPr>
        <w:t xml:space="preserve"> ROS and RCS identification and quantification were undertaken through the use of selective scavengers and probe compounds including </w:t>
      </w:r>
      <w:r w:rsidR="00B3664C" w:rsidRPr="00B3664C">
        <w:rPr>
          <w:i/>
          <w:iCs/>
          <w:color w:val="000000"/>
          <w:sz w:val="24"/>
        </w:rPr>
        <w:t>tert</w:t>
      </w:r>
      <w:r w:rsidR="00B3664C">
        <w:rPr>
          <w:color w:val="000000"/>
          <w:sz w:val="24"/>
        </w:rPr>
        <w:t xml:space="preserve">-butanol, isopropanol, and methanol (for distinction amongst HO• and various RCS), furfuryl alcohol (for </w:t>
      </w:r>
      <w:r w:rsidR="00B3664C" w:rsidRPr="00B3664C">
        <w:rPr>
          <w:color w:val="000000"/>
          <w:sz w:val="24"/>
          <w:vertAlign w:val="superscript"/>
        </w:rPr>
        <w:t>1</w:t>
      </w:r>
      <w:r w:rsidR="00B3664C">
        <w:rPr>
          <w:color w:val="000000"/>
          <w:sz w:val="24"/>
        </w:rPr>
        <w:t>O</w:t>
      </w:r>
      <w:r w:rsidR="00B3664C" w:rsidRPr="00B3664C">
        <w:rPr>
          <w:color w:val="000000"/>
          <w:sz w:val="24"/>
          <w:vertAlign w:val="subscript"/>
        </w:rPr>
        <w:t>2</w:t>
      </w:r>
      <w:r w:rsidR="00B3664C">
        <w:rPr>
          <w:color w:val="000000"/>
          <w:sz w:val="24"/>
        </w:rPr>
        <w:t>), tetranitromethane and nitro blue tetrazolium (for O</w:t>
      </w:r>
      <w:r w:rsidR="00B3664C" w:rsidRPr="00B3664C">
        <w:rPr>
          <w:color w:val="000000"/>
          <w:sz w:val="24"/>
          <w:vertAlign w:val="subscript"/>
        </w:rPr>
        <w:t>2</w:t>
      </w:r>
      <w:r w:rsidR="00B3664C" w:rsidRPr="00B3664C">
        <w:rPr>
          <w:color w:val="000000"/>
          <w:sz w:val="24"/>
          <w:vertAlign w:val="superscript"/>
        </w:rPr>
        <w:t>•–</w:t>
      </w:r>
      <w:r w:rsidR="00B3664C">
        <w:rPr>
          <w:color w:val="000000"/>
          <w:sz w:val="24"/>
        </w:rPr>
        <w:t>), as well as the use of D</w:t>
      </w:r>
      <w:r w:rsidR="00B3664C" w:rsidRPr="0091798E">
        <w:rPr>
          <w:color w:val="000000"/>
          <w:sz w:val="24"/>
          <w:vertAlign w:val="subscript"/>
        </w:rPr>
        <w:t>2</w:t>
      </w:r>
      <w:r w:rsidR="00B3664C">
        <w:rPr>
          <w:color w:val="000000"/>
          <w:sz w:val="24"/>
        </w:rPr>
        <w:t>O in place of H</w:t>
      </w:r>
      <w:r w:rsidR="00B3664C" w:rsidRPr="0091798E">
        <w:rPr>
          <w:color w:val="000000"/>
          <w:sz w:val="24"/>
          <w:vertAlign w:val="subscript"/>
        </w:rPr>
        <w:t>2</w:t>
      </w:r>
      <w:r w:rsidR="00B3664C">
        <w:rPr>
          <w:color w:val="000000"/>
          <w:sz w:val="24"/>
        </w:rPr>
        <w:t xml:space="preserve">O (for </w:t>
      </w:r>
      <w:r w:rsidR="00B3664C" w:rsidRPr="00B3664C">
        <w:rPr>
          <w:color w:val="000000"/>
          <w:sz w:val="24"/>
          <w:vertAlign w:val="superscript"/>
        </w:rPr>
        <w:t>1</w:t>
      </w:r>
      <w:r w:rsidR="00B3664C">
        <w:rPr>
          <w:color w:val="000000"/>
          <w:sz w:val="24"/>
        </w:rPr>
        <w:t>O</w:t>
      </w:r>
      <w:r w:rsidR="00B3664C" w:rsidRPr="00B3664C">
        <w:rPr>
          <w:color w:val="000000"/>
          <w:sz w:val="24"/>
          <w:vertAlign w:val="subscript"/>
        </w:rPr>
        <w:t>2</w:t>
      </w:r>
      <w:r w:rsidR="00B3664C">
        <w:rPr>
          <w:color w:val="000000"/>
          <w:sz w:val="24"/>
        </w:rPr>
        <w:t xml:space="preserve">).   </w:t>
      </w:r>
    </w:p>
    <w:p w14:paraId="7EBCE336" w14:textId="055F1F93" w:rsidR="001A2822" w:rsidRPr="00885DFB" w:rsidRDefault="00471481" w:rsidP="00ED086E">
      <w:pPr>
        <w:adjustRightInd w:val="0"/>
        <w:snapToGrid w:val="0"/>
        <w:spacing w:after="120"/>
        <w:ind w:firstLineChars="117" w:firstLine="281"/>
        <w:rPr>
          <w:color w:val="000000"/>
          <w:sz w:val="24"/>
        </w:rPr>
      </w:pPr>
      <w:r>
        <w:rPr>
          <w:color w:val="000000"/>
          <w:sz w:val="24"/>
        </w:rPr>
        <w:t>Experiments were typically undertaken by adding H</w:t>
      </w:r>
      <w:r w:rsidRPr="00471481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>O</w:t>
      </w:r>
      <w:r w:rsidRPr="00471481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 xml:space="preserve"> or FAC to continuously-stirred suspensions of a given MeOx in 20-mL amber vials, at H</w:t>
      </w:r>
      <w:r w:rsidRPr="00471481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>O</w:t>
      </w:r>
      <w:r w:rsidRPr="00471481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 xml:space="preserve"> or FAC concentrations of 0.1-100 mM and MeOx concentrations of 0.001-0.1 g/mL. Suspensions were also variously dosed with scavengers or probe compounds for characterizing the roles of ROS and RCS species in such systems. At pre-defined time intervals, samples were collected, filtered through 0.2-</w:t>
      </w:r>
      <w:r w:rsidR="0091798E">
        <w:rPr>
          <w:color w:val="000000"/>
          <w:sz w:val="24"/>
        </w:rPr>
        <w:t>μ</w:t>
      </w:r>
      <w:r>
        <w:rPr>
          <w:color w:val="000000"/>
          <w:sz w:val="24"/>
        </w:rPr>
        <w:t xml:space="preserve">m polyethersulfone </w:t>
      </w:r>
      <w:r w:rsidR="0091798E">
        <w:rPr>
          <w:color w:val="000000"/>
          <w:sz w:val="24"/>
        </w:rPr>
        <w:t xml:space="preserve">(PES) </w:t>
      </w:r>
      <w:r>
        <w:rPr>
          <w:color w:val="000000"/>
          <w:sz w:val="24"/>
        </w:rPr>
        <w:t xml:space="preserve">syringe filters, </w:t>
      </w:r>
      <w:r w:rsidR="00DB6860">
        <w:rPr>
          <w:color w:val="000000"/>
          <w:sz w:val="24"/>
        </w:rPr>
        <w:t>analyzed for residual H</w:t>
      </w:r>
      <w:r w:rsidR="00DB6860" w:rsidRPr="00DB6860">
        <w:rPr>
          <w:color w:val="000000"/>
          <w:sz w:val="24"/>
          <w:vertAlign w:val="subscript"/>
        </w:rPr>
        <w:t>2</w:t>
      </w:r>
      <w:r w:rsidR="00DB6860">
        <w:rPr>
          <w:color w:val="000000"/>
          <w:sz w:val="24"/>
        </w:rPr>
        <w:t>O</w:t>
      </w:r>
      <w:r w:rsidR="00DB6860" w:rsidRPr="00DB6860">
        <w:rPr>
          <w:color w:val="000000"/>
          <w:sz w:val="24"/>
          <w:vertAlign w:val="subscript"/>
        </w:rPr>
        <w:t>2</w:t>
      </w:r>
      <w:r w:rsidR="00DB6860">
        <w:rPr>
          <w:color w:val="000000"/>
          <w:sz w:val="24"/>
        </w:rPr>
        <w:t xml:space="preserve"> or FAC, </w:t>
      </w:r>
      <w:r>
        <w:rPr>
          <w:color w:val="000000"/>
          <w:sz w:val="24"/>
        </w:rPr>
        <w:lastRenderedPageBreak/>
        <w:t>quenched with catalase or sodium thiosulfate to remove residual H</w:t>
      </w:r>
      <w:r w:rsidRPr="00471481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>O</w:t>
      </w:r>
      <w:r w:rsidRPr="00471481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 xml:space="preserve"> or FAC, and subsequently analyzed </w:t>
      </w:r>
      <w:r w:rsidR="00DE050C">
        <w:rPr>
          <w:color w:val="000000"/>
          <w:sz w:val="24"/>
        </w:rPr>
        <w:t>by HPLC or other analytical methods as appropriate. For microbial inactivation experiments,</w:t>
      </w:r>
      <w:r w:rsidR="00DB6860">
        <w:rPr>
          <w:color w:val="000000"/>
          <w:sz w:val="24"/>
        </w:rPr>
        <w:t xml:space="preserve"> MS2 bacteriophage (</w:t>
      </w:r>
      <w:r w:rsidR="00DB6860" w:rsidRPr="00DB6860">
        <w:rPr>
          <w:color w:val="000000"/>
          <w:sz w:val="24"/>
        </w:rPr>
        <w:t>ATCC15597-B1</w:t>
      </w:r>
      <w:r w:rsidR="00DB6860">
        <w:rPr>
          <w:color w:val="000000"/>
          <w:sz w:val="24"/>
        </w:rPr>
        <w:t xml:space="preserve">) or </w:t>
      </w:r>
      <w:r w:rsidR="00DB6860" w:rsidRPr="00DB6860">
        <w:rPr>
          <w:i/>
          <w:iCs/>
          <w:color w:val="000000"/>
          <w:sz w:val="24"/>
        </w:rPr>
        <w:t>Bacillus subtilis</w:t>
      </w:r>
      <w:r w:rsidR="00DB6860">
        <w:rPr>
          <w:color w:val="000000"/>
          <w:sz w:val="24"/>
        </w:rPr>
        <w:t xml:space="preserve"> (ATCC 6633/BGSC 2A13) endospores were added to suspensions of selected MeOx in the presence of either H</w:t>
      </w:r>
      <w:r w:rsidR="00DB6860" w:rsidRPr="00DB6860">
        <w:rPr>
          <w:color w:val="000000"/>
          <w:sz w:val="24"/>
          <w:vertAlign w:val="subscript"/>
        </w:rPr>
        <w:t>2</w:t>
      </w:r>
      <w:r w:rsidR="00DB6860">
        <w:rPr>
          <w:color w:val="000000"/>
          <w:sz w:val="24"/>
        </w:rPr>
        <w:t>O</w:t>
      </w:r>
      <w:r w:rsidR="00DB6860" w:rsidRPr="00DB6860">
        <w:rPr>
          <w:color w:val="000000"/>
          <w:sz w:val="24"/>
          <w:vertAlign w:val="subscript"/>
        </w:rPr>
        <w:t>2</w:t>
      </w:r>
      <w:r w:rsidR="00DB6860">
        <w:rPr>
          <w:color w:val="000000"/>
          <w:sz w:val="24"/>
        </w:rPr>
        <w:t xml:space="preserve"> or FAC using similar approaches as above, except that samples were either plated directly on nutrient agar for </w:t>
      </w:r>
      <w:r w:rsidR="00DB6860" w:rsidRPr="00DB6860">
        <w:rPr>
          <w:i/>
          <w:iCs/>
          <w:color w:val="000000"/>
          <w:sz w:val="24"/>
        </w:rPr>
        <w:t>B. subtilis</w:t>
      </w:r>
      <w:r w:rsidR="00DB6860">
        <w:rPr>
          <w:color w:val="000000"/>
          <w:sz w:val="24"/>
        </w:rPr>
        <w:t xml:space="preserve"> endospore culturing or centrifuged prior to plating of the supernatant to a lawn of </w:t>
      </w:r>
      <w:r w:rsidR="00DB6860" w:rsidRPr="00DB6860">
        <w:rPr>
          <w:i/>
          <w:iCs/>
          <w:color w:val="000000"/>
          <w:sz w:val="24"/>
        </w:rPr>
        <w:t>Escherichia coli</w:t>
      </w:r>
      <w:r w:rsidR="00DB6860" w:rsidRPr="00DB6860">
        <w:rPr>
          <w:color w:val="000000"/>
          <w:sz w:val="24"/>
        </w:rPr>
        <w:t xml:space="preserve"> C3000 (ATCC 15597)</w:t>
      </w:r>
      <w:r w:rsidR="00DB6860">
        <w:rPr>
          <w:color w:val="000000"/>
          <w:sz w:val="24"/>
        </w:rPr>
        <w:t xml:space="preserve"> for MS2 plaque assays</w:t>
      </w:r>
      <w:r w:rsidR="00AD5A9D">
        <w:rPr>
          <w:color w:val="000000"/>
          <w:sz w:val="24"/>
        </w:rPr>
        <w:t>.</w:t>
      </w:r>
      <w:r w:rsidR="00A43D14">
        <w:rPr>
          <w:color w:val="000000"/>
          <w:sz w:val="24"/>
        </w:rPr>
        <w:t xml:space="preserve"> Controls were undertaken in </w:t>
      </w:r>
      <w:r w:rsidR="00A17B38">
        <w:rPr>
          <w:color w:val="000000"/>
          <w:sz w:val="24"/>
        </w:rPr>
        <w:t xml:space="preserve">either </w:t>
      </w:r>
      <w:r w:rsidR="00A43D14">
        <w:rPr>
          <w:color w:val="000000"/>
          <w:sz w:val="24"/>
        </w:rPr>
        <w:t>the absence of oxidants or MeOx species.</w:t>
      </w:r>
    </w:p>
    <w:p w14:paraId="658889CF" w14:textId="386B12CC" w:rsidR="00163D6E" w:rsidRPr="001A2822" w:rsidRDefault="00163D6E" w:rsidP="00ED086E">
      <w:pPr>
        <w:tabs>
          <w:tab w:val="left" w:pos="-879"/>
          <w:tab w:val="left" w:pos="0"/>
          <w:tab w:val="left" w:pos="788"/>
          <w:tab w:val="left" w:pos="1627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napToGrid w:val="0"/>
        <w:spacing w:after="120"/>
        <w:ind w:right="851"/>
        <w:outlineLvl w:val="0"/>
        <w:rPr>
          <w:b/>
          <w:bCs/>
          <w:sz w:val="24"/>
        </w:rPr>
      </w:pPr>
      <w:r w:rsidRPr="001A2822">
        <w:rPr>
          <w:b/>
          <w:bCs/>
          <w:sz w:val="24"/>
        </w:rPr>
        <w:t>Results and Discussion</w:t>
      </w:r>
    </w:p>
    <w:p w14:paraId="0037390F" w14:textId="0ED764E1" w:rsidR="009E05D8" w:rsidRDefault="00DB58DE" w:rsidP="00ED086E">
      <w:pPr>
        <w:adjustRightInd w:val="0"/>
        <w:snapToGrid w:val="0"/>
        <w:ind w:firstLineChars="117" w:firstLine="281"/>
        <w:rPr>
          <w:color w:val="000000"/>
          <w:sz w:val="24"/>
        </w:rPr>
      </w:pPr>
      <w:r>
        <w:rPr>
          <w:color w:val="000000"/>
          <w:sz w:val="24"/>
        </w:rPr>
        <w:t xml:space="preserve">Under the </w:t>
      </w:r>
      <w:r w:rsidR="00C92993">
        <w:rPr>
          <w:color w:val="000000"/>
          <w:sz w:val="24"/>
        </w:rPr>
        <w:t xml:space="preserve">batch </w:t>
      </w:r>
      <w:r>
        <w:rPr>
          <w:color w:val="000000"/>
          <w:sz w:val="24"/>
        </w:rPr>
        <w:t>treatment conditions investigated, H</w:t>
      </w:r>
      <w:r w:rsidRPr="00DB58DE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>O</w:t>
      </w:r>
      <w:r w:rsidRPr="00DB58DE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 xml:space="preserve"> and FAC decomposition kinetics in the presence of each MeOx followed the order of a-ZrO</w:t>
      </w:r>
      <w:r w:rsidRPr="00DB58DE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 xml:space="preserve"> &gt; CeO</w:t>
      </w:r>
      <w:r w:rsidRPr="00DB58DE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 xml:space="preserve"> &gt; m-ZrO</w:t>
      </w:r>
      <w:r w:rsidRPr="00DB58DE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 xml:space="preserve"> &gt; Al</w:t>
      </w:r>
      <w:r w:rsidRPr="00DB58DE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>O</w:t>
      </w:r>
      <w:r w:rsidRPr="00DB58DE">
        <w:rPr>
          <w:color w:val="000000"/>
          <w:sz w:val="24"/>
          <w:vertAlign w:val="subscript"/>
        </w:rPr>
        <w:t>3</w:t>
      </w:r>
      <w:r>
        <w:rPr>
          <w:color w:val="000000"/>
          <w:sz w:val="24"/>
        </w:rPr>
        <w:t xml:space="preserve"> &gt; SiO</w:t>
      </w:r>
      <w:r w:rsidRPr="00DB58DE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 xml:space="preserve"> &gt; TiO</w:t>
      </w:r>
      <w:r w:rsidRPr="00DB58DE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 xml:space="preserve"> for H</w:t>
      </w:r>
      <w:r w:rsidRPr="00DB58DE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>O</w:t>
      </w:r>
      <w:r w:rsidRPr="00DB58DE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 xml:space="preserve"> and a-ZrO</w:t>
      </w:r>
      <w:r w:rsidRPr="00DB58DE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 xml:space="preserve"> &gt; CeO</w:t>
      </w:r>
      <w:r w:rsidRPr="00DB58DE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 xml:space="preserve"> &gt; Al</w:t>
      </w:r>
      <w:r w:rsidRPr="00DB58DE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>O</w:t>
      </w:r>
      <w:r w:rsidRPr="00DB58DE">
        <w:rPr>
          <w:color w:val="000000"/>
          <w:sz w:val="24"/>
          <w:vertAlign w:val="subscript"/>
        </w:rPr>
        <w:t>3</w:t>
      </w:r>
      <w:r>
        <w:rPr>
          <w:color w:val="000000"/>
          <w:sz w:val="24"/>
        </w:rPr>
        <w:t xml:space="preserve"> &gt; m-ZrO</w:t>
      </w:r>
      <w:r w:rsidRPr="00DB58DE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 xml:space="preserve"> &gt; SiO</w:t>
      </w:r>
      <w:r w:rsidRPr="00DB58DE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 xml:space="preserve"> &gt; TiO</w:t>
      </w:r>
      <w:r w:rsidRPr="00DB58DE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 xml:space="preserve"> for FAC, with half-lives of oxidant decomposition ranging from &lt;</w:t>
      </w:r>
      <w:r w:rsidR="004F3F26">
        <w:rPr>
          <w:color w:val="000000"/>
          <w:sz w:val="24"/>
        </w:rPr>
        <w:t>20</w:t>
      </w:r>
      <w:r>
        <w:rPr>
          <w:color w:val="000000"/>
          <w:sz w:val="24"/>
        </w:rPr>
        <w:t xml:space="preserve"> min </w:t>
      </w:r>
      <w:r w:rsidR="00FD5F18">
        <w:rPr>
          <w:color w:val="000000"/>
          <w:sz w:val="24"/>
        </w:rPr>
        <w:t>for H</w:t>
      </w:r>
      <w:r w:rsidR="00FD5F18" w:rsidRPr="00FD5F18">
        <w:rPr>
          <w:color w:val="000000"/>
          <w:sz w:val="24"/>
          <w:vertAlign w:val="subscript"/>
        </w:rPr>
        <w:t>2</w:t>
      </w:r>
      <w:r w:rsidR="00FD5F18">
        <w:rPr>
          <w:color w:val="000000"/>
          <w:sz w:val="24"/>
        </w:rPr>
        <w:t>O</w:t>
      </w:r>
      <w:r w:rsidR="00FD5F18" w:rsidRPr="00FD5F18">
        <w:rPr>
          <w:color w:val="000000"/>
          <w:sz w:val="24"/>
          <w:vertAlign w:val="subscript"/>
        </w:rPr>
        <w:t>2</w:t>
      </w:r>
      <w:r w:rsidR="00FD5F18">
        <w:rPr>
          <w:color w:val="000000"/>
          <w:sz w:val="24"/>
        </w:rPr>
        <w:t xml:space="preserve"> and FAC decomposition by a-ZrO</w:t>
      </w:r>
      <w:r w:rsidR="00FD5F18" w:rsidRPr="002D607B">
        <w:rPr>
          <w:color w:val="000000"/>
          <w:sz w:val="24"/>
          <w:vertAlign w:val="subscript"/>
        </w:rPr>
        <w:t>2</w:t>
      </w:r>
      <w:r w:rsidR="004F3F26">
        <w:rPr>
          <w:color w:val="000000"/>
          <w:sz w:val="24"/>
        </w:rPr>
        <w:t xml:space="preserve"> and CeO</w:t>
      </w:r>
      <w:r w:rsidR="004F3F26" w:rsidRPr="004F3F26">
        <w:rPr>
          <w:color w:val="000000"/>
          <w:sz w:val="24"/>
          <w:vertAlign w:val="subscript"/>
        </w:rPr>
        <w:t>2</w:t>
      </w:r>
      <w:r w:rsidR="00FD5F18">
        <w:rPr>
          <w:color w:val="000000"/>
          <w:sz w:val="24"/>
        </w:rPr>
        <w:t xml:space="preserve"> </w:t>
      </w:r>
      <w:r>
        <w:rPr>
          <w:color w:val="000000"/>
          <w:sz w:val="24"/>
        </w:rPr>
        <w:t>to more than 1 hr</w:t>
      </w:r>
      <w:r w:rsidR="00FD5F18">
        <w:rPr>
          <w:color w:val="000000"/>
          <w:sz w:val="24"/>
        </w:rPr>
        <w:t xml:space="preserve"> for H</w:t>
      </w:r>
      <w:r w:rsidR="00FD5F18" w:rsidRPr="004F3F26">
        <w:rPr>
          <w:color w:val="000000"/>
          <w:sz w:val="24"/>
          <w:vertAlign w:val="subscript"/>
        </w:rPr>
        <w:t>2</w:t>
      </w:r>
      <w:r w:rsidR="00FD5F18">
        <w:rPr>
          <w:color w:val="000000"/>
          <w:sz w:val="24"/>
        </w:rPr>
        <w:t>O</w:t>
      </w:r>
      <w:r w:rsidR="00FD5F18" w:rsidRPr="004F3F26">
        <w:rPr>
          <w:color w:val="000000"/>
          <w:sz w:val="24"/>
          <w:vertAlign w:val="subscript"/>
        </w:rPr>
        <w:t>2</w:t>
      </w:r>
      <w:r w:rsidR="00FD5F18">
        <w:rPr>
          <w:color w:val="000000"/>
          <w:sz w:val="24"/>
        </w:rPr>
        <w:t xml:space="preserve"> and FAC decomposition by m-ZrO</w:t>
      </w:r>
      <w:r w:rsidR="00FD5F18" w:rsidRPr="00FD5F18">
        <w:rPr>
          <w:color w:val="000000"/>
          <w:sz w:val="24"/>
          <w:vertAlign w:val="subscript"/>
        </w:rPr>
        <w:t>2</w:t>
      </w:r>
      <w:r w:rsidR="00FD5F18">
        <w:rPr>
          <w:color w:val="000000"/>
          <w:sz w:val="24"/>
        </w:rPr>
        <w:t>, Al</w:t>
      </w:r>
      <w:r w:rsidR="00FD5F18" w:rsidRPr="00FD5F18">
        <w:rPr>
          <w:color w:val="000000"/>
          <w:sz w:val="24"/>
          <w:vertAlign w:val="subscript"/>
        </w:rPr>
        <w:t>2</w:t>
      </w:r>
      <w:r w:rsidR="00FD5F18">
        <w:rPr>
          <w:color w:val="000000"/>
          <w:sz w:val="24"/>
        </w:rPr>
        <w:t>O</w:t>
      </w:r>
      <w:r w:rsidR="00FD5F18" w:rsidRPr="00FD5F18">
        <w:rPr>
          <w:color w:val="000000"/>
          <w:sz w:val="24"/>
          <w:vertAlign w:val="subscript"/>
        </w:rPr>
        <w:t>3</w:t>
      </w:r>
      <w:r w:rsidR="00FD5F18">
        <w:rPr>
          <w:color w:val="000000"/>
          <w:sz w:val="24"/>
        </w:rPr>
        <w:t>, SiO</w:t>
      </w:r>
      <w:r w:rsidR="00FD5F18" w:rsidRPr="00FD5F18">
        <w:rPr>
          <w:color w:val="000000"/>
          <w:sz w:val="24"/>
          <w:vertAlign w:val="subscript"/>
        </w:rPr>
        <w:t>2</w:t>
      </w:r>
      <w:r w:rsidR="00FD5F18">
        <w:rPr>
          <w:color w:val="000000"/>
          <w:sz w:val="24"/>
        </w:rPr>
        <w:t>, and TiO</w:t>
      </w:r>
      <w:r w:rsidR="00FD5F18" w:rsidRPr="00FD5F18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>.</w:t>
      </w:r>
      <w:r w:rsidR="004F3F26">
        <w:rPr>
          <w:color w:val="000000"/>
          <w:sz w:val="24"/>
        </w:rPr>
        <w:t xml:space="preserve"> Selective scavenging and probe compound experiments indicated that decomposition of H</w:t>
      </w:r>
      <w:r w:rsidR="004F3F26" w:rsidRPr="004F3F26">
        <w:rPr>
          <w:color w:val="000000"/>
          <w:sz w:val="24"/>
          <w:vertAlign w:val="subscript"/>
        </w:rPr>
        <w:t>2</w:t>
      </w:r>
      <w:r w:rsidR="004F3F26">
        <w:rPr>
          <w:color w:val="000000"/>
          <w:sz w:val="24"/>
        </w:rPr>
        <w:t>O</w:t>
      </w:r>
      <w:r w:rsidR="004F3F26" w:rsidRPr="004F3F26">
        <w:rPr>
          <w:color w:val="000000"/>
          <w:sz w:val="24"/>
          <w:vertAlign w:val="subscript"/>
        </w:rPr>
        <w:t>2</w:t>
      </w:r>
      <w:r w:rsidR="004F3F26">
        <w:rPr>
          <w:color w:val="000000"/>
          <w:sz w:val="24"/>
        </w:rPr>
        <w:t xml:space="preserve"> and FAC </w:t>
      </w:r>
      <w:r w:rsidR="00492B6C">
        <w:rPr>
          <w:color w:val="000000"/>
          <w:sz w:val="24"/>
        </w:rPr>
        <w:t>on a-ZrO</w:t>
      </w:r>
      <w:r w:rsidR="00492B6C" w:rsidRPr="00DB58DE">
        <w:rPr>
          <w:color w:val="000000"/>
          <w:sz w:val="24"/>
          <w:vertAlign w:val="subscript"/>
        </w:rPr>
        <w:t>2</w:t>
      </w:r>
      <w:r w:rsidR="00492B6C">
        <w:rPr>
          <w:color w:val="000000"/>
          <w:sz w:val="24"/>
        </w:rPr>
        <w:t>, m-ZrO</w:t>
      </w:r>
      <w:r w:rsidR="00492B6C" w:rsidRPr="00492B6C">
        <w:rPr>
          <w:color w:val="000000"/>
          <w:sz w:val="24"/>
          <w:vertAlign w:val="subscript"/>
        </w:rPr>
        <w:t>2</w:t>
      </w:r>
      <w:r w:rsidR="00492B6C">
        <w:rPr>
          <w:color w:val="000000"/>
          <w:sz w:val="24"/>
        </w:rPr>
        <w:t xml:space="preserve">, </w:t>
      </w:r>
      <w:r w:rsidR="00682C61">
        <w:rPr>
          <w:color w:val="000000"/>
          <w:sz w:val="24"/>
        </w:rPr>
        <w:t xml:space="preserve">and </w:t>
      </w:r>
      <w:r w:rsidR="00492B6C">
        <w:rPr>
          <w:color w:val="000000"/>
          <w:sz w:val="24"/>
        </w:rPr>
        <w:t>CeO</w:t>
      </w:r>
      <w:r w:rsidR="00492B6C" w:rsidRPr="00DB58DE">
        <w:rPr>
          <w:color w:val="000000"/>
          <w:sz w:val="24"/>
          <w:vertAlign w:val="subscript"/>
        </w:rPr>
        <w:t>2</w:t>
      </w:r>
      <w:r w:rsidR="00492B6C">
        <w:rPr>
          <w:color w:val="000000"/>
          <w:sz w:val="24"/>
        </w:rPr>
        <w:t xml:space="preserve"> </w:t>
      </w:r>
      <w:r w:rsidR="004F3F26">
        <w:rPr>
          <w:color w:val="000000"/>
          <w:sz w:val="24"/>
        </w:rPr>
        <w:t xml:space="preserve">was accompanied by generation of </w:t>
      </w:r>
      <w:r w:rsidR="004F3F26" w:rsidRPr="00492B6C">
        <w:rPr>
          <w:color w:val="000000"/>
          <w:sz w:val="24"/>
        </w:rPr>
        <w:t xml:space="preserve">substantial levels of </w:t>
      </w:r>
      <w:r w:rsidR="004F3F26" w:rsidRPr="00492B6C">
        <w:rPr>
          <w:color w:val="000000"/>
          <w:sz w:val="24"/>
          <w:vertAlign w:val="superscript"/>
        </w:rPr>
        <w:t>1</w:t>
      </w:r>
      <w:r w:rsidR="004F3F26" w:rsidRPr="00492B6C">
        <w:rPr>
          <w:color w:val="000000"/>
          <w:sz w:val="24"/>
        </w:rPr>
        <w:t>O</w:t>
      </w:r>
      <w:r w:rsidR="004F3F26" w:rsidRPr="00492B6C">
        <w:rPr>
          <w:color w:val="000000"/>
          <w:sz w:val="24"/>
          <w:vertAlign w:val="subscript"/>
        </w:rPr>
        <w:t>2</w:t>
      </w:r>
      <w:r w:rsidR="004F3F26" w:rsidRPr="00492B6C">
        <w:rPr>
          <w:color w:val="000000"/>
          <w:sz w:val="24"/>
        </w:rPr>
        <w:t xml:space="preserve"> and/or O</w:t>
      </w:r>
      <w:r w:rsidR="004F3F26" w:rsidRPr="00492B6C">
        <w:rPr>
          <w:color w:val="000000"/>
          <w:sz w:val="24"/>
          <w:vertAlign w:val="subscript"/>
        </w:rPr>
        <w:t>2</w:t>
      </w:r>
      <w:r w:rsidR="004F3F26" w:rsidRPr="00492B6C">
        <w:rPr>
          <w:color w:val="000000"/>
          <w:sz w:val="24"/>
          <w:vertAlign w:val="superscript"/>
        </w:rPr>
        <w:t>•–</w:t>
      </w:r>
      <w:r w:rsidR="004F3F26" w:rsidRPr="00492B6C">
        <w:rPr>
          <w:color w:val="000000"/>
          <w:sz w:val="24"/>
        </w:rPr>
        <w:t xml:space="preserve">, and lower levels of HO•. FAC decomposition on </w:t>
      </w:r>
      <w:r w:rsidR="00492B6C" w:rsidRPr="00492B6C">
        <w:rPr>
          <w:color w:val="000000"/>
          <w:sz w:val="24"/>
        </w:rPr>
        <w:t>the same phases</w:t>
      </w:r>
      <w:r w:rsidR="00682C61">
        <w:rPr>
          <w:color w:val="000000"/>
          <w:sz w:val="24"/>
        </w:rPr>
        <w:t>, as well as TiO</w:t>
      </w:r>
      <w:r w:rsidR="00682C61" w:rsidRPr="00682C61">
        <w:rPr>
          <w:color w:val="000000"/>
          <w:sz w:val="24"/>
          <w:vertAlign w:val="subscript"/>
        </w:rPr>
        <w:t>2</w:t>
      </w:r>
      <w:r w:rsidR="00682C61">
        <w:rPr>
          <w:color w:val="000000"/>
          <w:sz w:val="24"/>
        </w:rPr>
        <w:t xml:space="preserve">, </w:t>
      </w:r>
      <w:r w:rsidR="004F3F26" w:rsidRPr="00492B6C">
        <w:rPr>
          <w:color w:val="000000"/>
          <w:sz w:val="24"/>
        </w:rPr>
        <w:t>also</w:t>
      </w:r>
      <w:r w:rsidR="004F3F26">
        <w:rPr>
          <w:color w:val="000000"/>
          <w:sz w:val="24"/>
        </w:rPr>
        <w:t xml:space="preserve"> appeared to be accompanied by generation of RCS, potentially including Cl</w:t>
      </w:r>
      <w:r w:rsidR="004F3F26" w:rsidRPr="004F3F26">
        <w:rPr>
          <w:color w:val="000000"/>
          <w:sz w:val="24"/>
          <w:vertAlign w:val="subscript"/>
        </w:rPr>
        <w:t>2</w:t>
      </w:r>
      <w:r w:rsidR="004F3F26" w:rsidRPr="004F3F26">
        <w:rPr>
          <w:color w:val="000000"/>
          <w:sz w:val="24"/>
          <w:vertAlign w:val="superscript"/>
        </w:rPr>
        <w:t>•–</w:t>
      </w:r>
      <w:r w:rsidR="004F3F26">
        <w:rPr>
          <w:color w:val="000000"/>
          <w:sz w:val="24"/>
        </w:rPr>
        <w:t xml:space="preserve"> and ClO</w:t>
      </w:r>
      <w:r w:rsidR="004F3F26" w:rsidRPr="004F3F26">
        <w:rPr>
          <w:color w:val="000000"/>
          <w:sz w:val="24"/>
          <w:vertAlign w:val="superscript"/>
        </w:rPr>
        <w:t>•</w:t>
      </w:r>
      <w:r w:rsidR="004F3F26">
        <w:rPr>
          <w:color w:val="000000"/>
          <w:sz w:val="24"/>
        </w:rPr>
        <w:t xml:space="preserve">, though the identities of the specific RCS generated </w:t>
      </w:r>
      <w:r w:rsidR="00682C61">
        <w:rPr>
          <w:color w:val="000000"/>
          <w:sz w:val="24"/>
        </w:rPr>
        <w:t>remain to be</w:t>
      </w:r>
      <w:r w:rsidR="004F3F26">
        <w:rPr>
          <w:color w:val="000000"/>
          <w:sz w:val="24"/>
        </w:rPr>
        <w:t xml:space="preserve"> confirmed.</w:t>
      </w:r>
      <w:r w:rsidR="0091798E">
        <w:rPr>
          <w:color w:val="000000"/>
          <w:sz w:val="24"/>
        </w:rPr>
        <w:t xml:space="preserve"> Further experiments aimed at assessing potential use of these reactions in precoat filtration applications confirmed the degradation of furfuryl alcohol (</w:t>
      </w:r>
      <w:r w:rsidR="0091798E" w:rsidRPr="0091798E">
        <w:rPr>
          <w:color w:val="000000"/>
          <w:sz w:val="24"/>
          <w:vertAlign w:val="superscript"/>
        </w:rPr>
        <w:t>1</w:t>
      </w:r>
      <w:r w:rsidR="0091798E">
        <w:rPr>
          <w:color w:val="000000"/>
          <w:sz w:val="24"/>
        </w:rPr>
        <w:t>O</w:t>
      </w:r>
      <w:r w:rsidR="0091798E" w:rsidRPr="0091798E">
        <w:rPr>
          <w:color w:val="000000"/>
          <w:sz w:val="24"/>
          <w:vertAlign w:val="subscript"/>
        </w:rPr>
        <w:t>2</w:t>
      </w:r>
      <w:r w:rsidR="0091798E">
        <w:rPr>
          <w:color w:val="000000"/>
          <w:sz w:val="24"/>
        </w:rPr>
        <w:t xml:space="preserve"> probe) in H</w:t>
      </w:r>
      <w:r w:rsidR="0091798E" w:rsidRPr="0091798E">
        <w:rPr>
          <w:color w:val="000000"/>
          <w:sz w:val="24"/>
          <w:vertAlign w:val="subscript"/>
        </w:rPr>
        <w:t>2</w:t>
      </w:r>
      <w:r w:rsidR="0091798E">
        <w:rPr>
          <w:color w:val="000000"/>
          <w:sz w:val="24"/>
        </w:rPr>
        <w:t>O</w:t>
      </w:r>
      <w:r w:rsidR="0091798E" w:rsidRPr="0091798E">
        <w:rPr>
          <w:color w:val="000000"/>
          <w:sz w:val="24"/>
          <w:vertAlign w:val="subscript"/>
        </w:rPr>
        <w:t>2</w:t>
      </w:r>
      <w:r w:rsidR="0091798E">
        <w:rPr>
          <w:color w:val="000000"/>
          <w:sz w:val="24"/>
        </w:rPr>
        <w:t xml:space="preserve">- or FAC-containing solutions when passed continuously through thin layers of MeOx solids applied to 0.2-μm polyethersulfone (PES) at </w:t>
      </w:r>
      <w:r w:rsidR="00BD3592">
        <w:rPr>
          <w:color w:val="000000"/>
          <w:sz w:val="24"/>
        </w:rPr>
        <w:t>various</w:t>
      </w:r>
      <w:r w:rsidR="0091798E">
        <w:rPr>
          <w:color w:val="000000"/>
          <w:sz w:val="24"/>
        </w:rPr>
        <w:t xml:space="preserve"> flow rates.</w:t>
      </w:r>
    </w:p>
    <w:p w14:paraId="4121C359" w14:textId="59F136E4" w:rsidR="009E05D8" w:rsidRPr="001A2822" w:rsidRDefault="009E05D8" w:rsidP="00ED086E">
      <w:pPr>
        <w:adjustRightInd w:val="0"/>
        <w:snapToGrid w:val="0"/>
        <w:spacing w:after="120"/>
        <w:ind w:firstLineChars="117" w:firstLine="281"/>
        <w:rPr>
          <w:color w:val="000000"/>
          <w:sz w:val="24"/>
        </w:rPr>
      </w:pPr>
      <w:r>
        <w:rPr>
          <w:color w:val="000000"/>
          <w:sz w:val="24"/>
        </w:rPr>
        <w:t xml:space="preserve">Additional disinfection experiments demonstrated small apparent enhancements in the kinetics of </w:t>
      </w:r>
      <w:r w:rsidRPr="009E05D8">
        <w:rPr>
          <w:i/>
          <w:iCs/>
          <w:color w:val="000000"/>
          <w:sz w:val="24"/>
        </w:rPr>
        <w:t>B. subtilis</w:t>
      </w:r>
      <w:r>
        <w:rPr>
          <w:color w:val="000000"/>
          <w:sz w:val="24"/>
        </w:rPr>
        <w:t xml:space="preserve"> endospore inactivation during exposure to FAC in the presence of</w:t>
      </w:r>
      <w:r w:rsidR="00862DCB">
        <w:rPr>
          <w:color w:val="000000"/>
          <w:sz w:val="24"/>
        </w:rPr>
        <w:t xml:space="preserve"> Ce</w:t>
      </w:r>
      <w:r>
        <w:rPr>
          <w:color w:val="000000"/>
          <w:sz w:val="24"/>
        </w:rPr>
        <w:t>O</w:t>
      </w:r>
      <w:r w:rsidRPr="00AA0528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 xml:space="preserve"> or TiO</w:t>
      </w:r>
      <w:r w:rsidRPr="00AA0528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 xml:space="preserve"> – presumably due to enhanced degradation of endospore coats by HO</w:t>
      </w:r>
      <w:r w:rsidRPr="009E05D8">
        <w:rPr>
          <w:color w:val="000000"/>
          <w:sz w:val="24"/>
          <w:vertAlign w:val="superscript"/>
        </w:rPr>
        <w:t>•</w:t>
      </w:r>
      <w:r>
        <w:rPr>
          <w:color w:val="000000"/>
          <w:sz w:val="24"/>
        </w:rPr>
        <w:t xml:space="preserve"> and/or Cl</w:t>
      </w:r>
      <w:r w:rsidRPr="009E05D8">
        <w:rPr>
          <w:color w:val="000000"/>
          <w:sz w:val="24"/>
          <w:vertAlign w:val="superscript"/>
        </w:rPr>
        <w:t>•</w:t>
      </w:r>
      <w:r>
        <w:rPr>
          <w:color w:val="000000"/>
          <w:sz w:val="24"/>
        </w:rPr>
        <w:t>, and dramatic enhancements of MS2 bacteriophage inactivation during exposure to H</w:t>
      </w:r>
      <w:r w:rsidRPr="00D14977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>O</w:t>
      </w:r>
      <w:r w:rsidRPr="00D14977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 xml:space="preserve"> in the presence of </w:t>
      </w:r>
      <w:r w:rsidR="00862DCB">
        <w:rPr>
          <w:color w:val="000000"/>
          <w:sz w:val="24"/>
        </w:rPr>
        <w:t>m</w:t>
      </w:r>
      <w:r>
        <w:rPr>
          <w:color w:val="000000"/>
          <w:sz w:val="24"/>
        </w:rPr>
        <w:t>-ZrO</w:t>
      </w:r>
      <w:r w:rsidRPr="00AA0528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 xml:space="preserve"> and CeO</w:t>
      </w:r>
      <w:r w:rsidRPr="00AA0528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 xml:space="preserve"> – presumably due to direct inactivation by the relatively high levels of </w:t>
      </w:r>
      <w:r w:rsidRPr="009E05D8">
        <w:rPr>
          <w:color w:val="000000"/>
          <w:sz w:val="24"/>
          <w:vertAlign w:val="superscript"/>
        </w:rPr>
        <w:t>1</w:t>
      </w:r>
      <w:r>
        <w:rPr>
          <w:color w:val="000000"/>
          <w:sz w:val="24"/>
        </w:rPr>
        <w:t>O</w:t>
      </w:r>
      <w:r w:rsidRPr="009E05D8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 xml:space="preserve"> generated via catalytic decomposition of H</w:t>
      </w:r>
      <w:r w:rsidRPr="00D14977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>O</w:t>
      </w:r>
      <w:r w:rsidRPr="00D14977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 xml:space="preserve"> in these systems.</w:t>
      </w:r>
      <w:r w:rsidR="00862DCB">
        <w:rPr>
          <w:color w:val="000000"/>
          <w:sz w:val="24"/>
        </w:rPr>
        <w:t xml:space="preserve"> MS2 was </w:t>
      </w:r>
      <w:r w:rsidR="0091798E">
        <w:rPr>
          <w:color w:val="000000"/>
          <w:sz w:val="24"/>
        </w:rPr>
        <w:t xml:space="preserve">also </w:t>
      </w:r>
      <w:r w:rsidR="00862DCB">
        <w:rPr>
          <w:color w:val="000000"/>
          <w:sz w:val="24"/>
        </w:rPr>
        <w:t>found to adsorb rapidly and completely to a-ZrO</w:t>
      </w:r>
      <w:r w:rsidR="00862DCB" w:rsidRPr="002D607B">
        <w:rPr>
          <w:color w:val="000000"/>
          <w:sz w:val="24"/>
          <w:vertAlign w:val="subscript"/>
        </w:rPr>
        <w:t>2</w:t>
      </w:r>
      <w:r w:rsidR="00862DCB">
        <w:rPr>
          <w:color w:val="000000"/>
          <w:sz w:val="24"/>
        </w:rPr>
        <w:t xml:space="preserve"> in the absence of H</w:t>
      </w:r>
      <w:r w:rsidR="00862DCB" w:rsidRPr="0091798E">
        <w:rPr>
          <w:color w:val="000000"/>
          <w:sz w:val="24"/>
          <w:vertAlign w:val="subscript"/>
        </w:rPr>
        <w:t>2</w:t>
      </w:r>
      <w:r w:rsidR="00862DCB">
        <w:rPr>
          <w:color w:val="000000"/>
          <w:sz w:val="24"/>
        </w:rPr>
        <w:t>O</w:t>
      </w:r>
      <w:r w:rsidR="00862DCB" w:rsidRPr="0091798E">
        <w:rPr>
          <w:color w:val="000000"/>
          <w:sz w:val="24"/>
          <w:vertAlign w:val="subscript"/>
        </w:rPr>
        <w:t>2</w:t>
      </w:r>
      <w:r w:rsidR="00862DCB">
        <w:rPr>
          <w:color w:val="000000"/>
          <w:sz w:val="24"/>
        </w:rPr>
        <w:t>, pointing to the potential use of this MeOx solid as an adsorbent</w:t>
      </w:r>
      <w:r w:rsidR="0091798E">
        <w:rPr>
          <w:color w:val="000000"/>
          <w:sz w:val="24"/>
        </w:rPr>
        <w:t xml:space="preserve"> material</w:t>
      </w:r>
      <w:r w:rsidR="00862DCB">
        <w:rPr>
          <w:color w:val="000000"/>
          <w:sz w:val="24"/>
        </w:rPr>
        <w:t>.</w:t>
      </w:r>
    </w:p>
    <w:p w14:paraId="5C4D8657" w14:textId="77777777" w:rsidR="00163D6E" w:rsidRPr="001A2822" w:rsidRDefault="00163D6E" w:rsidP="00ED086E">
      <w:pPr>
        <w:tabs>
          <w:tab w:val="left" w:pos="-879"/>
          <w:tab w:val="left" w:pos="0"/>
          <w:tab w:val="left" w:pos="788"/>
          <w:tab w:val="left" w:pos="1627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napToGrid w:val="0"/>
        <w:spacing w:after="120"/>
        <w:ind w:right="851"/>
        <w:outlineLvl w:val="0"/>
        <w:rPr>
          <w:b/>
          <w:bCs/>
          <w:sz w:val="24"/>
        </w:rPr>
      </w:pPr>
      <w:r w:rsidRPr="001A2822">
        <w:rPr>
          <w:b/>
          <w:bCs/>
          <w:sz w:val="24"/>
        </w:rPr>
        <w:t>Conclusions</w:t>
      </w:r>
    </w:p>
    <w:p w14:paraId="25278F20" w14:textId="6E9C8B38" w:rsidR="00163D6E" w:rsidRPr="001A2822" w:rsidRDefault="009B28C7" w:rsidP="000261AF">
      <w:pPr>
        <w:adjustRightInd w:val="0"/>
        <w:snapToGrid w:val="0"/>
        <w:spacing w:after="120"/>
        <w:ind w:firstLineChars="117" w:firstLine="281"/>
        <w:rPr>
          <w:color w:val="000000"/>
          <w:sz w:val="24"/>
        </w:rPr>
      </w:pPr>
      <w:r>
        <w:rPr>
          <w:color w:val="000000"/>
          <w:sz w:val="24"/>
        </w:rPr>
        <w:t xml:space="preserve">On account of the apparent preferential generation of more-selective/weaker oxidants (e.g., </w:t>
      </w:r>
      <w:r w:rsidRPr="000C0D11">
        <w:rPr>
          <w:color w:val="000000"/>
          <w:sz w:val="24"/>
          <w:vertAlign w:val="superscript"/>
        </w:rPr>
        <w:t>1</w:t>
      </w:r>
      <w:r>
        <w:rPr>
          <w:color w:val="000000"/>
          <w:sz w:val="24"/>
        </w:rPr>
        <w:t>O</w:t>
      </w:r>
      <w:r w:rsidRPr="000C0D11">
        <w:rPr>
          <w:color w:val="000000"/>
          <w:sz w:val="24"/>
          <w:vertAlign w:val="subscript"/>
        </w:rPr>
        <w:t>2</w:t>
      </w:r>
      <w:r>
        <w:rPr>
          <w:color w:val="000000"/>
          <w:sz w:val="24"/>
        </w:rPr>
        <w:t>, O</w:t>
      </w:r>
      <w:r w:rsidRPr="000C0D11">
        <w:rPr>
          <w:color w:val="000000"/>
          <w:sz w:val="24"/>
          <w:vertAlign w:val="subscript"/>
        </w:rPr>
        <w:t>2</w:t>
      </w:r>
      <w:r w:rsidRPr="000C0D11">
        <w:rPr>
          <w:color w:val="000000"/>
          <w:sz w:val="24"/>
          <w:vertAlign w:val="superscript"/>
        </w:rPr>
        <w:t>•–</w:t>
      </w:r>
      <w:r>
        <w:rPr>
          <w:color w:val="000000"/>
          <w:sz w:val="24"/>
        </w:rPr>
        <w:t>, ClO</w:t>
      </w:r>
      <w:r w:rsidRPr="000C0D11">
        <w:rPr>
          <w:color w:val="000000"/>
          <w:sz w:val="24"/>
          <w:vertAlign w:val="superscript"/>
        </w:rPr>
        <w:t>•</w:t>
      </w:r>
      <w:r>
        <w:rPr>
          <w:color w:val="000000"/>
          <w:sz w:val="24"/>
        </w:rPr>
        <w:t>) in favor of less-selected/stronger oxidants (e.g., HO</w:t>
      </w:r>
      <w:r w:rsidRPr="000C0D11">
        <w:rPr>
          <w:color w:val="000000"/>
          <w:sz w:val="24"/>
          <w:vertAlign w:val="superscript"/>
        </w:rPr>
        <w:t>•</w:t>
      </w:r>
      <w:r>
        <w:rPr>
          <w:color w:val="000000"/>
          <w:sz w:val="24"/>
        </w:rPr>
        <w:t>, Cl</w:t>
      </w:r>
      <w:r w:rsidRPr="000C0D11">
        <w:rPr>
          <w:color w:val="000000"/>
          <w:sz w:val="24"/>
          <w:vertAlign w:val="superscript"/>
        </w:rPr>
        <w:t>•</w:t>
      </w:r>
      <w:r>
        <w:rPr>
          <w:color w:val="000000"/>
          <w:sz w:val="24"/>
        </w:rPr>
        <w:t xml:space="preserve">), </w:t>
      </w:r>
      <w:r w:rsidR="000237FA">
        <w:rPr>
          <w:color w:val="000000"/>
          <w:sz w:val="24"/>
        </w:rPr>
        <w:t>the catalytic decomposition of H</w:t>
      </w:r>
      <w:r w:rsidR="000237FA" w:rsidRPr="000237FA">
        <w:rPr>
          <w:color w:val="000000"/>
          <w:sz w:val="24"/>
          <w:vertAlign w:val="subscript"/>
        </w:rPr>
        <w:t>2</w:t>
      </w:r>
      <w:r w:rsidR="000237FA">
        <w:rPr>
          <w:color w:val="000000"/>
          <w:sz w:val="24"/>
        </w:rPr>
        <w:t>O</w:t>
      </w:r>
      <w:r w:rsidR="000237FA" w:rsidRPr="000237FA">
        <w:rPr>
          <w:color w:val="000000"/>
          <w:sz w:val="24"/>
          <w:vertAlign w:val="subscript"/>
        </w:rPr>
        <w:t>2</w:t>
      </w:r>
      <w:r w:rsidR="000237FA">
        <w:rPr>
          <w:color w:val="000000"/>
          <w:sz w:val="24"/>
        </w:rPr>
        <w:t xml:space="preserve"> and FAC on various MeOx surfaces</w:t>
      </w:r>
      <w:r>
        <w:rPr>
          <w:color w:val="000000"/>
          <w:sz w:val="24"/>
        </w:rPr>
        <w:t xml:space="preserve"> processes appear to be most promising as targeted means of oxidation (e.g., pre-oxidation of dissolved organic matter for DBP mitigation, selective oxidation of easily-oxidizable substrates such as phenol- or aromatic amine-containing compounds) or disinfection</w:t>
      </w:r>
      <w:r w:rsidR="000237FA">
        <w:rPr>
          <w:color w:val="000000"/>
          <w:sz w:val="24"/>
        </w:rPr>
        <w:t xml:space="preserve"> (especially of viruses)</w:t>
      </w:r>
      <w:r>
        <w:rPr>
          <w:color w:val="000000"/>
          <w:sz w:val="24"/>
        </w:rPr>
        <w:t>, versus more general advanced oxidation applications.</w:t>
      </w:r>
      <w:r w:rsidR="000237FA">
        <w:rPr>
          <w:color w:val="000000"/>
          <w:sz w:val="24"/>
        </w:rPr>
        <w:t xml:space="preserve"> Of the investigated oxidant+MeOx combinations, H</w:t>
      </w:r>
      <w:r w:rsidR="000237FA" w:rsidRPr="000237FA">
        <w:rPr>
          <w:color w:val="000000"/>
          <w:sz w:val="24"/>
          <w:vertAlign w:val="subscript"/>
        </w:rPr>
        <w:t>2</w:t>
      </w:r>
      <w:r w:rsidR="000237FA">
        <w:rPr>
          <w:color w:val="000000"/>
          <w:sz w:val="24"/>
        </w:rPr>
        <w:t>O</w:t>
      </w:r>
      <w:r w:rsidR="000237FA" w:rsidRPr="000237FA">
        <w:rPr>
          <w:color w:val="000000"/>
          <w:sz w:val="24"/>
          <w:vertAlign w:val="subscript"/>
        </w:rPr>
        <w:t>2</w:t>
      </w:r>
      <w:r w:rsidR="000237FA">
        <w:rPr>
          <w:color w:val="000000"/>
          <w:sz w:val="24"/>
        </w:rPr>
        <w:t>+a-ZrO</w:t>
      </w:r>
      <w:r w:rsidR="000237FA" w:rsidRPr="000237FA">
        <w:rPr>
          <w:color w:val="000000"/>
          <w:sz w:val="24"/>
          <w:vertAlign w:val="subscript"/>
        </w:rPr>
        <w:t>2</w:t>
      </w:r>
      <w:r w:rsidR="000237FA">
        <w:rPr>
          <w:color w:val="000000"/>
          <w:sz w:val="24"/>
        </w:rPr>
        <w:t>, H</w:t>
      </w:r>
      <w:r w:rsidR="000237FA" w:rsidRPr="000237FA">
        <w:rPr>
          <w:color w:val="000000"/>
          <w:sz w:val="24"/>
          <w:vertAlign w:val="subscript"/>
        </w:rPr>
        <w:t>2</w:t>
      </w:r>
      <w:r w:rsidR="000237FA">
        <w:rPr>
          <w:color w:val="000000"/>
          <w:sz w:val="24"/>
        </w:rPr>
        <w:t>O</w:t>
      </w:r>
      <w:r w:rsidR="000237FA" w:rsidRPr="000237FA">
        <w:rPr>
          <w:color w:val="000000"/>
          <w:sz w:val="24"/>
          <w:vertAlign w:val="subscript"/>
        </w:rPr>
        <w:t>2</w:t>
      </w:r>
      <w:r w:rsidR="000237FA">
        <w:rPr>
          <w:color w:val="000000"/>
          <w:sz w:val="24"/>
        </w:rPr>
        <w:t>+m-ZrO</w:t>
      </w:r>
      <w:r w:rsidR="000237FA" w:rsidRPr="000237FA">
        <w:rPr>
          <w:color w:val="000000"/>
          <w:sz w:val="24"/>
          <w:vertAlign w:val="subscript"/>
        </w:rPr>
        <w:t>2</w:t>
      </w:r>
      <w:r w:rsidR="000237FA">
        <w:rPr>
          <w:color w:val="000000"/>
          <w:sz w:val="24"/>
        </w:rPr>
        <w:t>, H</w:t>
      </w:r>
      <w:r w:rsidR="000237FA" w:rsidRPr="000237FA">
        <w:rPr>
          <w:color w:val="000000"/>
          <w:sz w:val="24"/>
          <w:vertAlign w:val="subscript"/>
        </w:rPr>
        <w:t>2</w:t>
      </w:r>
      <w:r w:rsidR="000237FA">
        <w:rPr>
          <w:color w:val="000000"/>
          <w:sz w:val="24"/>
        </w:rPr>
        <w:t>O</w:t>
      </w:r>
      <w:r w:rsidR="000237FA" w:rsidRPr="000237FA">
        <w:rPr>
          <w:color w:val="000000"/>
          <w:sz w:val="24"/>
          <w:vertAlign w:val="subscript"/>
        </w:rPr>
        <w:t>2</w:t>
      </w:r>
      <w:r w:rsidR="000237FA">
        <w:rPr>
          <w:color w:val="000000"/>
          <w:sz w:val="24"/>
        </w:rPr>
        <w:t>+CeO</w:t>
      </w:r>
      <w:r w:rsidR="000237FA" w:rsidRPr="000237FA">
        <w:rPr>
          <w:color w:val="000000"/>
          <w:sz w:val="24"/>
          <w:vertAlign w:val="subscript"/>
        </w:rPr>
        <w:t>2</w:t>
      </w:r>
      <w:r w:rsidR="000237FA">
        <w:rPr>
          <w:color w:val="000000"/>
          <w:sz w:val="24"/>
        </w:rPr>
        <w:t>, FAC+m-ZrO</w:t>
      </w:r>
      <w:r w:rsidR="000237FA" w:rsidRPr="000237FA">
        <w:rPr>
          <w:color w:val="000000"/>
          <w:sz w:val="24"/>
          <w:vertAlign w:val="subscript"/>
        </w:rPr>
        <w:t>2</w:t>
      </w:r>
      <w:r w:rsidR="000237FA">
        <w:rPr>
          <w:color w:val="000000"/>
          <w:sz w:val="24"/>
        </w:rPr>
        <w:t>, and FAC+CeO</w:t>
      </w:r>
      <w:r w:rsidR="000237FA" w:rsidRPr="000237FA">
        <w:rPr>
          <w:color w:val="000000"/>
          <w:sz w:val="24"/>
          <w:vertAlign w:val="subscript"/>
        </w:rPr>
        <w:t>2</w:t>
      </w:r>
      <w:r w:rsidR="000237FA">
        <w:rPr>
          <w:color w:val="000000"/>
          <w:sz w:val="24"/>
        </w:rPr>
        <w:t xml:space="preserve"> appear to be most promising for oxidation and disinfection applications. Additionally, a-ZrO</w:t>
      </w:r>
      <w:r w:rsidR="000237FA" w:rsidRPr="000237FA">
        <w:rPr>
          <w:color w:val="000000"/>
          <w:sz w:val="24"/>
          <w:vertAlign w:val="subscript"/>
        </w:rPr>
        <w:t>2</w:t>
      </w:r>
      <w:r w:rsidR="000237FA">
        <w:rPr>
          <w:color w:val="000000"/>
          <w:sz w:val="24"/>
        </w:rPr>
        <w:t xml:space="preserve"> and CeO</w:t>
      </w:r>
      <w:r w:rsidR="000237FA" w:rsidRPr="000237FA">
        <w:rPr>
          <w:color w:val="000000"/>
          <w:sz w:val="24"/>
          <w:vertAlign w:val="subscript"/>
        </w:rPr>
        <w:t>2</w:t>
      </w:r>
      <w:r w:rsidR="000237FA">
        <w:rPr>
          <w:color w:val="000000"/>
          <w:sz w:val="24"/>
        </w:rPr>
        <w:t xml:space="preserve"> appear to be particularly promising </w:t>
      </w:r>
      <w:r w:rsidR="00564FA2">
        <w:rPr>
          <w:color w:val="000000"/>
          <w:sz w:val="24"/>
        </w:rPr>
        <w:t xml:space="preserve">as options for </w:t>
      </w:r>
      <w:r w:rsidR="00D24224">
        <w:rPr>
          <w:color w:val="000000"/>
          <w:sz w:val="24"/>
        </w:rPr>
        <w:t xml:space="preserve">rapid, catalytic </w:t>
      </w:r>
      <w:r w:rsidR="00564FA2">
        <w:rPr>
          <w:color w:val="000000"/>
          <w:sz w:val="24"/>
        </w:rPr>
        <w:t xml:space="preserve">quenching of </w:t>
      </w:r>
      <w:r w:rsidR="00A136D4">
        <w:rPr>
          <w:color w:val="000000"/>
          <w:sz w:val="24"/>
        </w:rPr>
        <w:t xml:space="preserve">excess </w:t>
      </w:r>
      <w:r w:rsidR="00564FA2">
        <w:rPr>
          <w:color w:val="000000"/>
          <w:sz w:val="24"/>
        </w:rPr>
        <w:t>H</w:t>
      </w:r>
      <w:r w:rsidR="00564FA2" w:rsidRPr="00564FA2">
        <w:rPr>
          <w:color w:val="000000"/>
          <w:sz w:val="24"/>
          <w:vertAlign w:val="subscript"/>
        </w:rPr>
        <w:t>2</w:t>
      </w:r>
      <w:r w:rsidR="00564FA2">
        <w:rPr>
          <w:color w:val="000000"/>
          <w:sz w:val="24"/>
        </w:rPr>
        <w:t>O</w:t>
      </w:r>
      <w:r w:rsidR="00564FA2" w:rsidRPr="00564FA2">
        <w:rPr>
          <w:color w:val="000000"/>
          <w:sz w:val="24"/>
          <w:vertAlign w:val="subscript"/>
        </w:rPr>
        <w:t>2</w:t>
      </w:r>
      <w:r w:rsidR="00564FA2">
        <w:rPr>
          <w:color w:val="000000"/>
          <w:sz w:val="24"/>
        </w:rPr>
        <w:t xml:space="preserve"> and FAC residuals following AOPs </w:t>
      </w:r>
      <w:r w:rsidR="00A136D4">
        <w:rPr>
          <w:color w:val="000000"/>
          <w:sz w:val="24"/>
        </w:rPr>
        <w:t>or</w:t>
      </w:r>
      <w:r w:rsidR="00564FA2">
        <w:rPr>
          <w:color w:val="000000"/>
          <w:sz w:val="24"/>
        </w:rPr>
        <w:t xml:space="preserve"> at point-of-use.</w:t>
      </w:r>
    </w:p>
    <w:p w14:paraId="7F77BB38" w14:textId="6496C199" w:rsidR="000261AF" w:rsidRPr="000261AF" w:rsidRDefault="00163D6E" w:rsidP="000261AF">
      <w:pPr>
        <w:tabs>
          <w:tab w:val="left" w:pos="-879"/>
          <w:tab w:val="left" w:pos="0"/>
          <w:tab w:val="left" w:pos="788"/>
          <w:tab w:val="left" w:pos="1627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napToGrid w:val="0"/>
        <w:spacing w:after="120"/>
        <w:ind w:right="850"/>
        <w:outlineLvl w:val="0"/>
        <w:rPr>
          <w:b/>
          <w:bCs/>
          <w:sz w:val="24"/>
        </w:rPr>
      </w:pPr>
      <w:r w:rsidRPr="001A2822">
        <w:rPr>
          <w:b/>
          <w:bCs/>
          <w:sz w:val="24"/>
        </w:rPr>
        <w:t>References</w:t>
      </w:r>
    </w:p>
    <w:p w14:paraId="47CB2524" w14:textId="3DB387B9" w:rsidR="00163D6E" w:rsidRPr="008F35B8" w:rsidRDefault="000261AF" w:rsidP="00D80DDB">
      <w:pPr>
        <w:pStyle w:val="EndNoteBibliography"/>
        <w:snapToGrid w:val="0"/>
        <w:ind w:left="360" w:hanging="360"/>
      </w:pPr>
      <w:fldSimple w:instr=" ADDIN EN.REFLIST ">
        <w:r w:rsidRPr="000261AF">
          <w:rPr>
            <w:noProof/>
          </w:rPr>
          <w:t>1.</w:t>
        </w:r>
        <w:r w:rsidRPr="000261AF">
          <w:rPr>
            <w:noProof/>
          </w:rPr>
          <w:tab/>
          <w:t>Sobanska, K.; Pietrzyk, P.; Sojka, Z. Generation of reactive oxygen species via electroprotic interaction of H</w:t>
        </w:r>
        <w:r w:rsidRPr="000261AF">
          <w:rPr>
            <w:noProof/>
            <w:vertAlign w:val="subscript"/>
          </w:rPr>
          <w:t>2</w:t>
        </w:r>
        <w:r w:rsidRPr="000261AF">
          <w:rPr>
            <w:noProof/>
          </w:rPr>
          <w:t>O</w:t>
        </w:r>
        <w:r w:rsidRPr="000261AF">
          <w:rPr>
            <w:noProof/>
            <w:vertAlign w:val="subscript"/>
          </w:rPr>
          <w:t>2</w:t>
        </w:r>
        <w:r w:rsidRPr="000261AF">
          <w:rPr>
            <w:noProof/>
          </w:rPr>
          <w:t xml:space="preserve"> with ZrO</w:t>
        </w:r>
        <w:r w:rsidRPr="000261AF">
          <w:rPr>
            <w:noProof/>
            <w:vertAlign w:val="subscript"/>
          </w:rPr>
          <w:t>2</w:t>
        </w:r>
        <w:r w:rsidRPr="000261AF">
          <w:rPr>
            <w:noProof/>
          </w:rPr>
          <w:t xml:space="preserve"> gel: ionic sponge effect and pH-switchable peroxidase-and catalase-like activity. </w:t>
        </w:r>
        <w:r w:rsidRPr="000261AF">
          <w:rPr>
            <w:i/>
            <w:noProof/>
          </w:rPr>
          <w:t>ACS Catalysis</w:t>
        </w:r>
        <w:r w:rsidRPr="000261AF">
          <w:rPr>
            <w:noProof/>
          </w:rPr>
          <w:t xml:space="preserve"> </w:t>
        </w:r>
        <w:r w:rsidRPr="000261AF">
          <w:rPr>
            <w:b/>
            <w:noProof/>
          </w:rPr>
          <w:t>2017</w:t>
        </w:r>
        <w:r w:rsidRPr="000261AF">
          <w:rPr>
            <w:noProof/>
          </w:rPr>
          <w:t xml:space="preserve">, </w:t>
        </w:r>
        <w:r w:rsidRPr="000261AF">
          <w:rPr>
            <w:i/>
            <w:noProof/>
          </w:rPr>
          <w:t>7</w:t>
        </w:r>
        <w:r w:rsidRPr="000261AF">
          <w:rPr>
            <w:noProof/>
          </w:rPr>
          <w:t xml:space="preserve">, 2935-2947. </w:t>
        </w:r>
      </w:fldSimple>
    </w:p>
    <w:sectPr w:rsidR="00163D6E" w:rsidRPr="008F35B8">
      <w:headerReference w:type="default" r:id="rId6"/>
      <w:footerReference w:type="default" r:id="rId7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E3B676" w14:textId="77777777" w:rsidR="003C3342" w:rsidRDefault="003C3342">
      <w:r>
        <w:separator/>
      </w:r>
    </w:p>
  </w:endnote>
  <w:endnote w:type="continuationSeparator" w:id="0">
    <w:p w14:paraId="68CAA613" w14:textId="77777777" w:rsidR="003C3342" w:rsidRDefault="003C33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6945A3" w14:textId="77777777" w:rsidR="00163D6E" w:rsidRDefault="003C3342">
    <w:pPr>
      <w:pStyle w:val="Footer"/>
      <w:jc w:val="center"/>
      <w:rPr>
        <w:sz w:val="20"/>
        <w:szCs w:val="20"/>
      </w:rPr>
    </w:pPr>
    <w:r>
      <w:rPr>
        <w:sz w:val="20"/>
      </w:rPr>
      <w:pict w14:anchorId="74C37F25"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alt="" style="position:absolute;left:0;text-align:left;margin-left:0;margin-top:0;width:4.55pt;height:10.35pt;z-index:1;mso-wrap-style:none;mso-wrap-edited:f;mso-width-percent:0;mso-height-percent:0;mso-position-horizontal:center;mso-position-horizontal-relative:margin;mso-width-percent:0;mso-height-percent:0;v-text-anchor:top" filled="f" stroked="f" strokeweight="1.25pt">
          <v:textbox style="mso-fit-shape-to-text:t" inset="0,0,0,0">
            <w:txbxContent>
              <w:p w14:paraId="7035484D" w14:textId="77777777" w:rsidR="00163D6E" w:rsidRDefault="00163D6E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EA599D" w14:textId="77777777" w:rsidR="003C3342" w:rsidRDefault="003C3342">
      <w:r>
        <w:separator/>
      </w:r>
    </w:p>
  </w:footnote>
  <w:footnote w:type="continuationSeparator" w:id="0">
    <w:p w14:paraId="7BAE669D" w14:textId="77777777" w:rsidR="003C3342" w:rsidRDefault="003C33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09FD36" w14:textId="77777777" w:rsidR="00163D6E" w:rsidRDefault="00163D6E">
    <w:pPr>
      <w:pStyle w:val="Header"/>
      <w:rPr>
        <w:color w:val="444444"/>
      </w:rPr>
    </w:pPr>
    <w:r>
      <w:rPr>
        <w:color w:val="444444"/>
      </w:rPr>
      <w:t>5th International Conference on Disinfection and DBPs: Advancements in Disinfection Systems Towards Safe Drinking Water and Water Reuse</w:t>
    </w:r>
  </w:p>
  <w:p w14:paraId="6C43F487" w14:textId="77777777" w:rsidR="00163D6E" w:rsidRDefault="00163D6E">
    <w:pPr>
      <w:pStyle w:val="Header"/>
    </w:pPr>
    <w:r>
      <w:rPr>
        <w:rFonts w:hint="eastAsia"/>
        <w:color w:val="444444"/>
      </w:rPr>
      <w:t>Shanghai</w:t>
    </w:r>
    <w:r>
      <w:rPr>
        <w:color w:val="444444"/>
      </w:rPr>
      <w:t>, China,</w:t>
    </w:r>
    <w:r>
      <w:rPr>
        <w:rFonts w:hint="eastAsia"/>
        <w:color w:val="444444"/>
      </w:rPr>
      <w:t xml:space="preserve"> July 7th to 11th, 2026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Environ Science Technology (superscript)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wavt2wpatt9d1edt04pvsd9ztp9rerx525p&quot;&gt;Literature Database_Master_110122&lt;record-ids&gt;&lt;item&gt;3655&lt;/item&gt;&lt;/record-ids&gt;&lt;/item&gt;&lt;/Libraries&gt;"/>
  </w:docVars>
  <w:rsids>
    <w:rsidRoot w:val="006650FC"/>
    <w:rsid w:val="00015AA9"/>
    <w:rsid w:val="000237FA"/>
    <w:rsid w:val="000261AF"/>
    <w:rsid w:val="000453EA"/>
    <w:rsid w:val="00050E16"/>
    <w:rsid w:val="000721C4"/>
    <w:rsid w:val="00080757"/>
    <w:rsid w:val="00090E39"/>
    <w:rsid w:val="000A105F"/>
    <w:rsid w:val="000B6743"/>
    <w:rsid w:val="000C0411"/>
    <w:rsid w:val="000C0A4F"/>
    <w:rsid w:val="000C0D11"/>
    <w:rsid w:val="000D360C"/>
    <w:rsid w:val="000E46B5"/>
    <w:rsid w:val="0011364C"/>
    <w:rsid w:val="00117D46"/>
    <w:rsid w:val="00132B53"/>
    <w:rsid w:val="00143C40"/>
    <w:rsid w:val="00150D8E"/>
    <w:rsid w:val="00161AE0"/>
    <w:rsid w:val="00163D6E"/>
    <w:rsid w:val="001653EA"/>
    <w:rsid w:val="00165757"/>
    <w:rsid w:val="00181740"/>
    <w:rsid w:val="00183BA6"/>
    <w:rsid w:val="0018560A"/>
    <w:rsid w:val="001A2822"/>
    <w:rsid w:val="001B57B3"/>
    <w:rsid w:val="001B5CAA"/>
    <w:rsid w:val="001B662A"/>
    <w:rsid w:val="001C0322"/>
    <w:rsid w:val="001C3237"/>
    <w:rsid w:val="001E2E79"/>
    <w:rsid w:val="00206867"/>
    <w:rsid w:val="00212C4A"/>
    <w:rsid w:val="00216812"/>
    <w:rsid w:val="0024384F"/>
    <w:rsid w:val="00246FCA"/>
    <w:rsid w:val="00292733"/>
    <w:rsid w:val="002B6D66"/>
    <w:rsid w:val="002C0245"/>
    <w:rsid w:val="002D607B"/>
    <w:rsid w:val="00306884"/>
    <w:rsid w:val="00314F38"/>
    <w:rsid w:val="0034417C"/>
    <w:rsid w:val="00345750"/>
    <w:rsid w:val="00393CDF"/>
    <w:rsid w:val="003A3C1B"/>
    <w:rsid w:val="003A3C44"/>
    <w:rsid w:val="003B402C"/>
    <w:rsid w:val="003B6E46"/>
    <w:rsid w:val="003C2459"/>
    <w:rsid w:val="003C3342"/>
    <w:rsid w:val="003F4D90"/>
    <w:rsid w:val="00403B08"/>
    <w:rsid w:val="0041412E"/>
    <w:rsid w:val="004201D9"/>
    <w:rsid w:val="00443766"/>
    <w:rsid w:val="004563A9"/>
    <w:rsid w:val="00462302"/>
    <w:rsid w:val="00471481"/>
    <w:rsid w:val="004746D6"/>
    <w:rsid w:val="00480F98"/>
    <w:rsid w:val="00492B6C"/>
    <w:rsid w:val="004A41C5"/>
    <w:rsid w:val="004B3D6E"/>
    <w:rsid w:val="004C774E"/>
    <w:rsid w:val="004D6A63"/>
    <w:rsid w:val="004E3F57"/>
    <w:rsid w:val="004E49CC"/>
    <w:rsid w:val="004F04A3"/>
    <w:rsid w:val="004F0B66"/>
    <w:rsid w:val="004F3F26"/>
    <w:rsid w:val="004F5761"/>
    <w:rsid w:val="0050370F"/>
    <w:rsid w:val="00522E8E"/>
    <w:rsid w:val="00526C77"/>
    <w:rsid w:val="00532E1E"/>
    <w:rsid w:val="00542372"/>
    <w:rsid w:val="005473C6"/>
    <w:rsid w:val="00564FA2"/>
    <w:rsid w:val="00565735"/>
    <w:rsid w:val="00566637"/>
    <w:rsid w:val="005735A6"/>
    <w:rsid w:val="00585FCE"/>
    <w:rsid w:val="005B1C44"/>
    <w:rsid w:val="005B1D6F"/>
    <w:rsid w:val="005B4F94"/>
    <w:rsid w:val="005C1B6D"/>
    <w:rsid w:val="005E07AB"/>
    <w:rsid w:val="005F32FC"/>
    <w:rsid w:val="00605332"/>
    <w:rsid w:val="00635DE3"/>
    <w:rsid w:val="00635E34"/>
    <w:rsid w:val="006479A7"/>
    <w:rsid w:val="006523A2"/>
    <w:rsid w:val="00662C8D"/>
    <w:rsid w:val="006650FC"/>
    <w:rsid w:val="00682C61"/>
    <w:rsid w:val="006D6FEB"/>
    <w:rsid w:val="006E6628"/>
    <w:rsid w:val="006E7FF9"/>
    <w:rsid w:val="00710195"/>
    <w:rsid w:val="00730A6C"/>
    <w:rsid w:val="00735D95"/>
    <w:rsid w:val="00740473"/>
    <w:rsid w:val="00756CA5"/>
    <w:rsid w:val="00775E3C"/>
    <w:rsid w:val="007904B7"/>
    <w:rsid w:val="00795EF5"/>
    <w:rsid w:val="007A04DD"/>
    <w:rsid w:val="007A4E44"/>
    <w:rsid w:val="007E51DD"/>
    <w:rsid w:val="00811153"/>
    <w:rsid w:val="00824FED"/>
    <w:rsid w:val="00862DCB"/>
    <w:rsid w:val="008740E1"/>
    <w:rsid w:val="008859BC"/>
    <w:rsid w:val="00885DFB"/>
    <w:rsid w:val="0088769D"/>
    <w:rsid w:val="008B7260"/>
    <w:rsid w:val="008D0B4B"/>
    <w:rsid w:val="008F35B8"/>
    <w:rsid w:val="009020D4"/>
    <w:rsid w:val="009162C1"/>
    <w:rsid w:val="0091798E"/>
    <w:rsid w:val="00922196"/>
    <w:rsid w:val="009245F3"/>
    <w:rsid w:val="00925DAD"/>
    <w:rsid w:val="009400C3"/>
    <w:rsid w:val="0094231D"/>
    <w:rsid w:val="00955046"/>
    <w:rsid w:val="00966FAE"/>
    <w:rsid w:val="00971471"/>
    <w:rsid w:val="00972B45"/>
    <w:rsid w:val="00980CEA"/>
    <w:rsid w:val="009B28C7"/>
    <w:rsid w:val="009B516D"/>
    <w:rsid w:val="009E05D8"/>
    <w:rsid w:val="009E2212"/>
    <w:rsid w:val="009F5218"/>
    <w:rsid w:val="00A00287"/>
    <w:rsid w:val="00A00A41"/>
    <w:rsid w:val="00A0376E"/>
    <w:rsid w:val="00A136D4"/>
    <w:rsid w:val="00A136F6"/>
    <w:rsid w:val="00A15678"/>
    <w:rsid w:val="00A17B38"/>
    <w:rsid w:val="00A22CC2"/>
    <w:rsid w:val="00A43D14"/>
    <w:rsid w:val="00A479F0"/>
    <w:rsid w:val="00A701CA"/>
    <w:rsid w:val="00AA0528"/>
    <w:rsid w:val="00AA39C9"/>
    <w:rsid w:val="00AA41A2"/>
    <w:rsid w:val="00AC7CB1"/>
    <w:rsid w:val="00AD113A"/>
    <w:rsid w:val="00AD26C4"/>
    <w:rsid w:val="00AD3DDC"/>
    <w:rsid w:val="00AD5A9D"/>
    <w:rsid w:val="00AE4420"/>
    <w:rsid w:val="00AE61EE"/>
    <w:rsid w:val="00AE7FE2"/>
    <w:rsid w:val="00AF378A"/>
    <w:rsid w:val="00B00768"/>
    <w:rsid w:val="00B130A2"/>
    <w:rsid w:val="00B24010"/>
    <w:rsid w:val="00B256CE"/>
    <w:rsid w:val="00B279D3"/>
    <w:rsid w:val="00B3664C"/>
    <w:rsid w:val="00B4013F"/>
    <w:rsid w:val="00B57AEB"/>
    <w:rsid w:val="00B753D1"/>
    <w:rsid w:val="00B773AA"/>
    <w:rsid w:val="00B92744"/>
    <w:rsid w:val="00BA6EE8"/>
    <w:rsid w:val="00BB02D0"/>
    <w:rsid w:val="00BB2398"/>
    <w:rsid w:val="00BC6C3F"/>
    <w:rsid w:val="00BD3592"/>
    <w:rsid w:val="00BF28B1"/>
    <w:rsid w:val="00C3103A"/>
    <w:rsid w:val="00C32AD0"/>
    <w:rsid w:val="00C75D6E"/>
    <w:rsid w:val="00C764A1"/>
    <w:rsid w:val="00C92993"/>
    <w:rsid w:val="00CB2F7F"/>
    <w:rsid w:val="00CB4197"/>
    <w:rsid w:val="00CC46A3"/>
    <w:rsid w:val="00CC5917"/>
    <w:rsid w:val="00D06216"/>
    <w:rsid w:val="00D13C13"/>
    <w:rsid w:val="00D14977"/>
    <w:rsid w:val="00D15496"/>
    <w:rsid w:val="00D24224"/>
    <w:rsid w:val="00D67891"/>
    <w:rsid w:val="00D80DDB"/>
    <w:rsid w:val="00DB3F18"/>
    <w:rsid w:val="00DB58DE"/>
    <w:rsid w:val="00DB67EF"/>
    <w:rsid w:val="00DB6860"/>
    <w:rsid w:val="00DC33E3"/>
    <w:rsid w:val="00DD7880"/>
    <w:rsid w:val="00DE050C"/>
    <w:rsid w:val="00DF0D5C"/>
    <w:rsid w:val="00DF504C"/>
    <w:rsid w:val="00E015B7"/>
    <w:rsid w:val="00E06734"/>
    <w:rsid w:val="00E20DD1"/>
    <w:rsid w:val="00E24BB1"/>
    <w:rsid w:val="00E35FC2"/>
    <w:rsid w:val="00E532EF"/>
    <w:rsid w:val="00E55F95"/>
    <w:rsid w:val="00E60640"/>
    <w:rsid w:val="00E653CC"/>
    <w:rsid w:val="00E70205"/>
    <w:rsid w:val="00E83955"/>
    <w:rsid w:val="00EA4AF9"/>
    <w:rsid w:val="00EB37F7"/>
    <w:rsid w:val="00ED086E"/>
    <w:rsid w:val="00ED20A6"/>
    <w:rsid w:val="00EE3BE2"/>
    <w:rsid w:val="00EE76AB"/>
    <w:rsid w:val="00F0487B"/>
    <w:rsid w:val="00F04986"/>
    <w:rsid w:val="00F067D0"/>
    <w:rsid w:val="00F30678"/>
    <w:rsid w:val="00F508BE"/>
    <w:rsid w:val="00F56864"/>
    <w:rsid w:val="00F705A7"/>
    <w:rsid w:val="00F71B97"/>
    <w:rsid w:val="00FA542D"/>
    <w:rsid w:val="00FB7F29"/>
    <w:rsid w:val="00FC56B8"/>
    <w:rsid w:val="00FD1AB9"/>
    <w:rsid w:val="00FD32CE"/>
    <w:rsid w:val="00FD5F18"/>
    <w:rsid w:val="00FF2739"/>
    <w:rsid w:val="00FF3DFB"/>
    <w:rsid w:val="04A80D30"/>
    <w:rsid w:val="0CE6655D"/>
    <w:rsid w:val="11BC23DE"/>
    <w:rsid w:val="156A5AB1"/>
    <w:rsid w:val="25533ABB"/>
    <w:rsid w:val="45193A0F"/>
    <w:rsid w:val="59D02953"/>
    <w:rsid w:val="5C93552F"/>
    <w:rsid w:val="5E514D99"/>
    <w:rsid w:val="61D34332"/>
    <w:rsid w:val="64BD75EC"/>
    <w:rsid w:val="66D21888"/>
    <w:rsid w:val="70BA03DF"/>
    <w:rsid w:val="75530582"/>
    <w:rsid w:val="7BB92D69"/>
    <w:rsid w:val="7F176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6AB9DF0A"/>
  <w15:chartTrackingRefBased/>
  <w15:docId w15:val="{778C22AF-19FB-DC45-96A0-5AD87AA58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  <w:lang w:eastAsia="zh-CN"/>
    </w:rPr>
  </w:style>
  <w:style w:type="paragraph" w:styleId="Heading1">
    <w:name w:val="heading 1"/>
    <w:basedOn w:val="Normal"/>
    <w:next w:val="Normal"/>
    <w:link w:val="Heading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b/>
      <w:bCs/>
      <w:kern w:val="44"/>
      <w:sz w:val="44"/>
      <w:szCs w:val="44"/>
    </w:rPr>
  </w:style>
  <w:style w:type="paragraph" w:styleId="DocumentMap">
    <w:name w:val="Document Map"/>
    <w:basedOn w:val="Normal"/>
    <w:link w:val="DocumentMapChar"/>
    <w:rPr>
      <w:rFonts w:ascii="SimSun"/>
      <w:sz w:val="18"/>
      <w:szCs w:val="18"/>
    </w:rPr>
  </w:style>
  <w:style w:type="character" w:customStyle="1" w:styleId="DocumentMapChar">
    <w:name w:val="Document Map Char"/>
    <w:link w:val="DocumentMap"/>
    <w:rPr>
      <w:rFonts w:ascii="SimSun"/>
      <w:kern w:val="2"/>
      <w:sz w:val="18"/>
      <w:szCs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rPr>
      <w:sz w:val="24"/>
    </w:rPr>
  </w:style>
  <w:style w:type="character" w:styleId="PageNumber">
    <w:name w:val="page number"/>
  </w:style>
  <w:style w:type="paragraph" w:customStyle="1" w:styleId="IWAHeading">
    <w:name w:val="(IWA) Heading"/>
    <w:basedOn w:val="Heading1"/>
    <w:next w:val="IWAFirstparagraph"/>
    <w:pPr>
      <w:keepLines w:val="0"/>
      <w:widowControl/>
      <w:suppressLineNumbers/>
      <w:tabs>
        <w:tab w:val="left" w:pos="414"/>
      </w:tabs>
      <w:overflowPunct w:val="0"/>
      <w:autoSpaceDE w:val="0"/>
      <w:autoSpaceDN w:val="0"/>
      <w:adjustRightInd w:val="0"/>
      <w:spacing w:before="320" w:after="120" w:line="320" w:lineRule="atLeast"/>
      <w:ind w:left="420" w:hanging="420"/>
      <w:jc w:val="left"/>
      <w:textAlignment w:val="baseline"/>
    </w:pPr>
    <w:rPr>
      <w:rFonts w:ascii="Arial" w:hAnsi="Arial" w:cs="Arial"/>
      <w:kern w:val="28"/>
      <w:sz w:val="24"/>
      <w:szCs w:val="24"/>
      <w:lang w:val="en-GB" w:eastAsia="en-US"/>
    </w:rPr>
  </w:style>
  <w:style w:type="paragraph" w:customStyle="1" w:styleId="IWAFirstparagraph">
    <w:name w:val="(IWA) First paragraph"/>
    <w:basedOn w:val="Normal"/>
    <w:next w:val="IWANormalParagraph"/>
    <w:pPr>
      <w:widowControl/>
      <w:suppressLineNumbers/>
      <w:overflowPunct w:val="0"/>
      <w:autoSpaceDE w:val="0"/>
      <w:autoSpaceDN w:val="0"/>
      <w:adjustRightInd w:val="0"/>
      <w:spacing w:after="120" w:line="240" w:lineRule="atLeast"/>
      <w:textAlignment w:val="baseline"/>
    </w:pPr>
    <w:rPr>
      <w:rFonts w:ascii="Arial" w:hAnsi="Arial" w:cs="Arial"/>
      <w:kern w:val="0"/>
      <w:sz w:val="22"/>
      <w:szCs w:val="22"/>
      <w:lang w:val="en-GB" w:eastAsia="en-US"/>
    </w:rPr>
  </w:style>
  <w:style w:type="paragraph" w:customStyle="1" w:styleId="IWANormalParagraph">
    <w:name w:val="(IWA) Normal Paragraph"/>
    <w:basedOn w:val="Normal"/>
    <w:pPr>
      <w:widowControl/>
      <w:spacing w:after="120"/>
      <w:ind w:firstLine="210"/>
    </w:pPr>
    <w:rPr>
      <w:rFonts w:ascii="Arial" w:hAnsi="Arial" w:cs="Arial"/>
      <w:kern w:val="0"/>
      <w:sz w:val="22"/>
      <w:szCs w:val="22"/>
      <w:lang w:val="en-GB" w:eastAsia="en-US"/>
    </w:rPr>
  </w:style>
  <w:style w:type="paragraph" w:customStyle="1" w:styleId="Authornames">
    <w:name w:val="Author name(s)"/>
    <w:basedOn w:val="Normal"/>
    <w:next w:val="Normal"/>
    <w:pPr>
      <w:widowControl/>
      <w:suppressLineNumbers/>
      <w:suppressAutoHyphens/>
      <w:overflowPunct w:val="0"/>
      <w:autoSpaceDE w:val="0"/>
      <w:autoSpaceDN w:val="0"/>
      <w:adjustRightInd w:val="0"/>
      <w:spacing w:before="240" w:after="120" w:line="240" w:lineRule="exact"/>
      <w:jc w:val="left"/>
      <w:textAlignment w:val="baseline"/>
    </w:pPr>
    <w:rPr>
      <w:rFonts w:ascii="Arial" w:hAnsi="Arial" w:cs="Arial"/>
      <w:b/>
      <w:bCs/>
      <w:kern w:val="0"/>
      <w:sz w:val="20"/>
      <w:szCs w:val="20"/>
      <w:lang w:val="en-GB" w:eastAsia="en-US"/>
    </w:rPr>
  </w:style>
  <w:style w:type="paragraph" w:customStyle="1" w:styleId="IWAKeyword">
    <w:name w:val="(IWA) Keyword"/>
    <w:basedOn w:val="Normal"/>
    <w:next w:val="Heading1"/>
    <w:pPr>
      <w:widowControl/>
      <w:suppressLineNumbers/>
      <w:suppressAutoHyphens/>
      <w:overflowPunct w:val="0"/>
      <w:autoSpaceDE w:val="0"/>
      <w:autoSpaceDN w:val="0"/>
      <w:adjustRightInd w:val="0"/>
      <w:spacing w:line="220" w:lineRule="atLeast"/>
      <w:jc w:val="center"/>
      <w:textAlignment w:val="baseline"/>
    </w:pPr>
    <w:rPr>
      <w:rFonts w:ascii="Arial" w:hAnsi="Arial" w:cs="Arial"/>
      <w:kern w:val="0"/>
      <w:sz w:val="18"/>
      <w:szCs w:val="18"/>
      <w:lang w:val="en-GB" w:eastAsia="en-US"/>
    </w:rPr>
  </w:style>
  <w:style w:type="paragraph" w:customStyle="1" w:styleId="Authoraddress">
    <w:name w:val="Author address"/>
    <w:basedOn w:val="Normal"/>
    <w:next w:val="Normal"/>
    <w:pPr>
      <w:widowControl/>
      <w:suppressLineNumbers/>
      <w:suppressAutoHyphens/>
      <w:overflowPunct w:val="0"/>
      <w:autoSpaceDE w:val="0"/>
      <w:autoSpaceDN w:val="0"/>
      <w:adjustRightInd w:val="0"/>
      <w:spacing w:line="220" w:lineRule="atLeast"/>
      <w:jc w:val="left"/>
      <w:textAlignment w:val="baseline"/>
    </w:pPr>
    <w:rPr>
      <w:rFonts w:ascii="Arial" w:hAnsi="Arial" w:cs="Arial"/>
      <w:kern w:val="0"/>
      <w:sz w:val="18"/>
      <w:szCs w:val="18"/>
      <w:lang w:val="en-GB" w:eastAsia="en-US"/>
    </w:rPr>
  </w:style>
  <w:style w:type="paragraph" w:customStyle="1" w:styleId="PlainText1">
    <w:name w:val="Plain Text1"/>
    <w:basedOn w:val="Normal"/>
    <w:rPr>
      <w:rFonts w:ascii="Calibri" w:hAnsi="Courier New" w:cs="Courier New"/>
      <w:sz w:val="24"/>
      <w:lang w:eastAsia="zh-TW"/>
    </w:rPr>
  </w:style>
  <w:style w:type="paragraph" w:customStyle="1" w:styleId="IWAPaperTitle">
    <w:name w:val="(IWA) Paper Title"/>
    <w:basedOn w:val="Normal"/>
    <w:pPr>
      <w:widowControl/>
      <w:jc w:val="center"/>
    </w:pPr>
    <w:rPr>
      <w:rFonts w:ascii="Arial" w:hAnsi="Arial" w:cs="Arial"/>
      <w:b/>
      <w:bCs/>
      <w:kern w:val="0"/>
      <w:sz w:val="28"/>
      <w:szCs w:val="28"/>
      <w:lang w:val="en-GB"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0261AF"/>
    <w:pPr>
      <w:jc w:val="center"/>
    </w:pPr>
    <w:rPr>
      <w:sz w:val="24"/>
    </w:rPr>
  </w:style>
  <w:style w:type="character" w:customStyle="1" w:styleId="EndNoteBibliographyTitleChar">
    <w:name w:val="EndNote Bibliography Title Char"/>
    <w:link w:val="EndNoteBibliographyTitle"/>
    <w:rsid w:val="000261AF"/>
    <w:rPr>
      <w:kern w:val="2"/>
      <w:sz w:val="24"/>
      <w:szCs w:val="24"/>
      <w:lang w:eastAsia="zh-CN"/>
    </w:rPr>
  </w:style>
  <w:style w:type="paragraph" w:customStyle="1" w:styleId="EndNoteBibliography">
    <w:name w:val="EndNote Bibliography"/>
    <w:basedOn w:val="Normal"/>
    <w:link w:val="EndNoteBibliographyChar"/>
    <w:rsid w:val="000261AF"/>
    <w:rPr>
      <w:sz w:val="24"/>
    </w:rPr>
  </w:style>
  <w:style w:type="character" w:customStyle="1" w:styleId="EndNoteBibliographyChar">
    <w:name w:val="EndNote Bibliography Char"/>
    <w:link w:val="EndNoteBibliography"/>
    <w:rsid w:val="000261AF"/>
    <w:rPr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19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2</Pages>
  <Words>1238</Words>
  <Characters>7171</Characters>
  <Application>Microsoft Office Word</Application>
  <DocSecurity>0</DocSecurity>
  <PresentationFormat/>
  <Lines>105</Lines>
  <Paragraphs>23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Title of Extended Abstract for the IWA-NRR 2012</vt:lpstr>
    </vt:vector>
  </TitlesOfParts>
  <Manager/>
  <Company>微软中国</Company>
  <LinksUpToDate>false</LinksUpToDate>
  <CharactersWithSpaces>8386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 of Extended Abstract for the IWA-NRR 2012</dc:title>
  <dc:subject/>
  <dc:creator>微软用户</dc:creator>
  <cp:keywords/>
  <dc:description/>
  <cp:lastModifiedBy>Michael C Dodd</cp:lastModifiedBy>
  <cp:revision>54</cp:revision>
  <dcterms:created xsi:type="dcterms:W3CDTF">2026-02-16T06:54:00Z</dcterms:created>
  <dcterms:modified xsi:type="dcterms:W3CDTF">2026-02-16T10:54:00Z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eyJoZGlkIjoiMzE1MTY4YzQ5NWFkMTYzNTg4MTg2NzdiNWQ5YzI3NmEiLCJ1c2VySWQiOiIzNzU0Njk5OTMifQ==</vt:lpwstr>
  </property>
  <property fmtid="{D5CDD505-2E9C-101B-9397-08002B2CF9AE}" pid="4" name="ICV">
    <vt:lpwstr>9F6B1C1C142F44238B93AD4D27136762_12</vt:lpwstr>
  </property>
</Properties>
</file>