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0298" w:rsidRPr="00C80298" w:rsidRDefault="00C80298" w:rsidP="007000AF">
      <w:pPr>
        <w:jc w:val="center"/>
        <w:rPr>
          <w:b/>
          <w:bCs/>
        </w:rPr>
      </w:pPr>
      <w:r w:rsidRPr="00C80298">
        <w:rPr>
          <w:b/>
          <w:bCs/>
        </w:rPr>
        <w:t>National and Local-Level Policy Tools for Regulating Disinfection Byproducts in Drinking Water: China’s Evolving Regulatory Landscape</w:t>
      </w:r>
    </w:p>
    <w:p w:rsidR="00C80298" w:rsidRPr="00C80298" w:rsidRDefault="00C80298" w:rsidP="00C80298">
      <w:proofErr w:type="spellStart"/>
      <w:r>
        <w:rPr>
          <w:i/>
          <w:iCs/>
          <w:lang w:val="en-US"/>
        </w:rPr>
        <w:t>Lingjia</w:t>
      </w:r>
      <w:proofErr w:type="spellEnd"/>
      <w:r>
        <w:rPr>
          <w:i/>
          <w:iCs/>
          <w:lang w:val="en-US"/>
        </w:rPr>
        <w:t xml:space="preserve"> Zhong</w:t>
      </w:r>
      <w:r w:rsidRPr="00C80298">
        <w:rPr>
          <w:i/>
          <w:iCs/>
          <w:vertAlign w:val="superscript"/>
          <w:lang w:val="en-US"/>
        </w:rPr>
        <w:t>1</w:t>
      </w:r>
      <w:r>
        <w:rPr>
          <w:i/>
          <w:iCs/>
          <w:lang w:val="en-US"/>
        </w:rPr>
        <w:t xml:space="preserve">, </w:t>
      </w:r>
      <w:proofErr w:type="spellStart"/>
      <w:r>
        <w:rPr>
          <w:i/>
          <w:iCs/>
          <w:lang w:val="en-US"/>
        </w:rPr>
        <w:t>Linsheng</w:t>
      </w:r>
      <w:proofErr w:type="spellEnd"/>
      <w:r>
        <w:rPr>
          <w:i/>
          <w:iCs/>
          <w:lang w:val="en-US"/>
        </w:rPr>
        <w:t xml:space="preserve"> He</w:t>
      </w:r>
      <w:r w:rsidRPr="00C80298">
        <w:rPr>
          <w:i/>
          <w:iCs/>
          <w:vertAlign w:val="superscript"/>
          <w:lang w:val="en-US"/>
        </w:rPr>
        <w:t>1</w:t>
      </w:r>
      <w:r>
        <w:rPr>
          <w:i/>
          <w:iCs/>
          <w:lang w:val="en-US"/>
        </w:rPr>
        <w:t>, Yixin Dai</w:t>
      </w:r>
      <w:r w:rsidRPr="00C80298">
        <w:rPr>
          <w:i/>
          <w:iCs/>
          <w:vertAlign w:val="superscript"/>
          <w:lang w:val="en-US"/>
        </w:rPr>
        <w:t>1</w:t>
      </w:r>
      <w:r>
        <w:rPr>
          <w:i/>
          <w:iCs/>
          <w:vertAlign w:val="superscript"/>
          <w:lang w:val="en-US"/>
        </w:rPr>
        <w:t>,*</w:t>
      </w:r>
      <w:r>
        <w:rPr>
          <w:i/>
          <w:iCs/>
          <w:lang w:val="en-US"/>
        </w:rPr>
        <w:t>, Chao Chen</w:t>
      </w:r>
      <w:r>
        <w:rPr>
          <w:i/>
          <w:iCs/>
          <w:vertAlign w:val="superscript"/>
          <w:lang w:val="en-US"/>
        </w:rPr>
        <w:t>2</w:t>
      </w:r>
      <w:r>
        <w:rPr>
          <w:i/>
          <w:iCs/>
          <w:lang w:val="en-US"/>
        </w:rPr>
        <w:t xml:space="preserve">, </w:t>
      </w:r>
      <w:proofErr w:type="spellStart"/>
      <w:r>
        <w:rPr>
          <w:i/>
          <w:iCs/>
          <w:lang w:val="en-US"/>
        </w:rPr>
        <w:t>Lingyi</w:t>
      </w:r>
      <w:proofErr w:type="spellEnd"/>
      <w:r>
        <w:rPr>
          <w:i/>
          <w:iCs/>
          <w:lang w:val="en-US"/>
        </w:rPr>
        <w:t xml:space="preserve"> Zhou</w:t>
      </w:r>
      <w:r>
        <w:rPr>
          <w:i/>
          <w:iCs/>
          <w:vertAlign w:val="superscript"/>
          <w:lang w:val="en-US"/>
        </w:rPr>
        <w:t>3</w:t>
      </w:r>
      <w:r>
        <w:rPr>
          <w:i/>
          <w:iCs/>
          <w:lang w:val="en-US"/>
        </w:rPr>
        <w:t xml:space="preserve"> </w:t>
      </w:r>
    </w:p>
    <w:p w:rsidR="00C80298" w:rsidRPr="00311BE2" w:rsidRDefault="00C80298" w:rsidP="00C80298">
      <w:pPr>
        <w:rPr>
          <w:i/>
          <w:iCs/>
        </w:rPr>
      </w:pPr>
      <w:r w:rsidRPr="00C80298">
        <w:rPr>
          <w:i/>
          <w:iCs/>
        </w:rPr>
        <w:t xml:space="preserve">(1 </w:t>
      </w:r>
      <w:r>
        <w:rPr>
          <w:i/>
          <w:iCs/>
          <w:lang w:val="en-US"/>
        </w:rPr>
        <w:t xml:space="preserve">School of Public Policy and Management, Tsinghua University, Beijing, China; </w:t>
      </w:r>
      <w:r w:rsidRPr="00C80298">
        <w:rPr>
          <w:i/>
          <w:iCs/>
        </w:rPr>
        <w:t xml:space="preserve">2 </w:t>
      </w:r>
      <w:r>
        <w:rPr>
          <w:i/>
          <w:iCs/>
          <w:lang w:val="en-US"/>
        </w:rPr>
        <w:t xml:space="preserve">School of Environment, Tsinghua University, Beijing, China; 3 </w:t>
      </w:r>
      <w:r w:rsidR="00DA6203">
        <w:rPr>
          <w:i/>
          <w:iCs/>
          <w:lang w:val="en-US"/>
        </w:rPr>
        <w:t>School of International Relations and Public Affairs, Fudan University, Shanghai, China</w:t>
      </w:r>
      <w:r w:rsidRPr="00C80298">
        <w:rPr>
          <w:i/>
          <w:iCs/>
        </w:rPr>
        <w:t>)</w:t>
      </w:r>
      <w:r w:rsidR="00311BE2">
        <w:rPr>
          <w:i/>
          <w:iCs/>
          <w:lang w:val="en-US"/>
        </w:rPr>
        <w:t xml:space="preserve">   </w:t>
      </w:r>
      <w:r w:rsidRPr="00C80298">
        <w:t>*</w:t>
      </w:r>
      <w:r>
        <w:rPr>
          <w:lang w:val="en-US"/>
        </w:rPr>
        <w:t xml:space="preserve">: </w:t>
      </w:r>
      <w:r w:rsidRPr="00C80298">
        <w:rPr>
          <w:lang w:val="en-US"/>
        </w:rPr>
        <w:t>Corresponding Autho</w:t>
      </w:r>
      <w:r>
        <w:rPr>
          <w:lang w:val="en-US"/>
        </w:rPr>
        <w:t>r</w:t>
      </w:r>
    </w:p>
    <w:p w:rsidR="00C80298" w:rsidRPr="00C80298" w:rsidRDefault="00C80298" w:rsidP="00C80298">
      <w:pPr>
        <w:rPr>
          <w:lang w:val="en-US"/>
        </w:rPr>
      </w:pPr>
      <w:r w:rsidRPr="00C80298">
        <w:rPr>
          <w:b/>
          <w:bCs/>
        </w:rPr>
        <w:t>Presenting Author:</w:t>
      </w:r>
      <w:r w:rsidRPr="00C80298">
        <w:t xml:space="preserve"> </w:t>
      </w:r>
      <w:r>
        <w:rPr>
          <w:lang w:val="en-US"/>
        </w:rPr>
        <w:t xml:space="preserve">Yixin Dai </w:t>
      </w:r>
    </w:p>
    <w:p w:rsidR="00C80298" w:rsidRPr="00C80298" w:rsidRDefault="00C80298" w:rsidP="00C80298">
      <w:pPr>
        <w:rPr>
          <w:lang w:val="en-US"/>
        </w:rPr>
      </w:pPr>
      <w:r w:rsidRPr="00C80298">
        <w:rPr>
          <w:b/>
          <w:bCs/>
        </w:rPr>
        <w:t>Keywords:</w:t>
      </w:r>
      <w:r w:rsidRPr="00C80298">
        <w:t xml:space="preserve"> disinfection byproducts (DBPs); drinking water standards; policy tools; regulatory governance; China</w:t>
      </w:r>
    </w:p>
    <w:p w:rsidR="00C80298" w:rsidRPr="00C80298" w:rsidRDefault="00C80298" w:rsidP="00C80298">
      <w:pPr>
        <w:rPr>
          <w:b/>
          <w:bCs/>
        </w:rPr>
      </w:pPr>
      <w:r w:rsidRPr="00C80298">
        <w:rPr>
          <w:b/>
          <w:bCs/>
        </w:rPr>
        <w:t>Introduction</w:t>
      </w:r>
    </w:p>
    <w:p w:rsidR="0094218A" w:rsidRPr="0094218A" w:rsidRDefault="0094218A" w:rsidP="0094218A">
      <w:r w:rsidRPr="0094218A">
        <w:t xml:space="preserve">Disinfection is fundamental to preventing waterborne diseases, yet it produces disinfection byproducts (DBPs) through reactions between disinfectants and natural organic matter in water. </w:t>
      </w:r>
      <w:r>
        <w:rPr>
          <w:lang w:val="en-US"/>
        </w:rPr>
        <w:t>Some</w:t>
      </w:r>
      <w:r w:rsidRPr="0094218A">
        <w:t xml:space="preserve"> DBPs are associated with carcinogenic and chronic health risks, making their regulation a critical issue in drinking water governance. In China, DBP regulation has strengthened significantly through successive revisions of the </w:t>
      </w:r>
      <w:r w:rsidRPr="0094218A">
        <w:rPr>
          <w:i/>
          <w:iCs/>
        </w:rPr>
        <w:t>Standards for Drinking Water Quality</w:t>
      </w:r>
      <w:r w:rsidRPr="0094218A">
        <w:t xml:space="preserve"> (GB 5749), most recently updated in 2022 and implemented in 2023. At the same time, several leading provinces and municipalities have incorporated DBPs into local standards, in some cases adopting stricter requirements.</w:t>
      </w:r>
    </w:p>
    <w:p w:rsidR="0094218A" w:rsidRPr="0094218A" w:rsidRDefault="0094218A" w:rsidP="0094218A">
      <w:r w:rsidRPr="0094218A">
        <w:t xml:space="preserve">While technical research on DBP formation and removal has expanded rapidly, </w:t>
      </w:r>
      <w:r>
        <w:rPr>
          <w:lang w:val="en-US"/>
        </w:rPr>
        <w:t>regulation</w:t>
      </w:r>
      <w:r w:rsidRPr="0094218A">
        <w:t>-oriented studies remain limited. Existing research largely compares regulated DBP species and maximum contaminant levels (MCLs), with less attention to how regulatory systems are structured and implemented. This study addresses this gap by applying a policy tool analysis to China’s DBP regulatory framework. The objectives are: (1) to trace the evolution of national DBP regulation, and (2) to categorize the policy instruments that support DBP governance at national and local levels.</w:t>
      </w:r>
    </w:p>
    <w:p w:rsidR="00C80298" w:rsidRPr="00C80298" w:rsidRDefault="00C80298" w:rsidP="00C80298">
      <w:pPr>
        <w:rPr>
          <w:b/>
          <w:bCs/>
        </w:rPr>
      </w:pPr>
      <w:r w:rsidRPr="00C80298">
        <w:rPr>
          <w:b/>
          <w:bCs/>
        </w:rPr>
        <w:t>Materials and Methods</w:t>
      </w:r>
    </w:p>
    <w:p w:rsidR="00CE5AF0" w:rsidRPr="00CE5AF0" w:rsidRDefault="00CE5AF0" w:rsidP="00CE5AF0">
      <w:r w:rsidRPr="00CE5AF0">
        <w:t xml:space="preserve">This study adopts a qualitative policy analysis approach based on national standards and regulatory documents related to drinking water safety and urban water supply management. Key documents include successive versions of GB 5749 and associated supervisory regulations. </w:t>
      </w:r>
      <w:r>
        <w:rPr>
          <w:lang w:val="en-US"/>
        </w:rPr>
        <w:t>Content</w:t>
      </w:r>
      <w:r w:rsidRPr="00CE5AF0">
        <w:t xml:space="preserve"> coding process was used to identify changes in DBP scope, monitoring frequency, and compliance mechanisms.</w:t>
      </w:r>
    </w:p>
    <w:p w:rsidR="001103F9" w:rsidRPr="001103F9" w:rsidRDefault="00CE5AF0" w:rsidP="001103F9">
      <w:r w:rsidRPr="00CE5AF0">
        <w:lastRenderedPageBreak/>
        <w:t xml:space="preserve">Policy instruments were categorized into four groups: (1) regulatory/command-and-control tools (standards, monitoring mandates, penalties); (2) </w:t>
      </w:r>
      <w:r>
        <w:rPr>
          <w:lang w:val="en-US"/>
        </w:rPr>
        <w:t>incentive</w:t>
      </w:r>
      <w:r w:rsidRPr="00CE5AF0">
        <w:t xml:space="preserve"> tools (price adjustment mechanisms)</w:t>
      </w:r>
      <w:r>
        <w:rPr>
          <w:lang w:val="en-US"/>
        </w:rPr>
        <w:t xml:space="preserve">; (3) </w:t>
      </w:r>
      <w:r w:rsidRPr="00CE5AF0">
        <w:t xml:space="preserve">informational tools (public disclosure); </w:t>
      </w:r>
      <w:r>
        <w:rPr>
          <w:lang w:val="en-US"/>
        </w:rPr>
        <w:t xml:space="preserve">and </w:t>
      </w:r>
      <w:r w:rsidRPr="00CE5AF0">
        <w:t>(</w:t>
      </w:r>
      <w:r>
        <w:rPr>
          <w:lang w:val="en-US"/>
        </w:rPr>
        <w:t>4</w:t>
      </w:r>
      <w:r w:rsidRPr="00CE5AF0">
        <w:t>) planning and organizational tools (emergency planning, certification, equipment inspection). This framework enables analysis of how DBP governance operates through an integrated instrument portfolio.</w:t>
      </w:r>
    </w:p>
    <w:p w:rsidR="00C80298" w:rsidRPr="00C80298" w:rsidRDefault="00C80298" w:rsidP="00C80298">
      <w:pPr>
        <w:rPr>
          <w:b/>
          <w:bCs/>
        </w:rPr>
      </w:pPr>
      <w:r w:rsidRPr="00C80298">
        <w:rPr>
          <w:b/>
          <w:bCs/>
        </w:rPr>
        <w:t>Results and Discussion</w:t>
      </w:r>
    </w:p>
    <w:p w:rsidR="003E0F1A" w:rsidRPr="003E0F1A" w:rsidRDefault="003E0F1A" w:rsidP="003E0F1A">
      <w:r w:rsidRPr="003E0F1A">
        <w:t>China’s DBP regulation shows a clear trajectory toward increased stringency and expanded scope. Early standards regulated few DBP-related indicators. The 2006 revision of GB 5749 marked a major expansion, incorporating multiple DBPs and formal monitoring requirements. The 2022 revision further strengthened governance by designating several DBPs (e.g., trihalomethanes, haloacetic acids, chlorite, chlorate, bromate) as routine indicators while listing others (e.g., NDMA) as non-routine indicators. This structure reflects a more risk-based and adaptive regulatory approach.</w:t>
      </w:r>
    </w:p>
    <w:p w:rsidR="003E0F1A" w:rsidRPr="003E0F1A" w:rsidRDefault="003E0F1A" w:rsidP="003E0F1A">
      <w:r w:rsidRPr="003E0F1A">
        <w:t xml:space="preserve">Policy tool analysis reveals that DBP governance is supported by a diversified instrument mix. Regulatory tools remain central, defining MCLs and compliance rules. Informational tools, particularly water quality disclosure requirements, enhance transparency and public accountability. Planning and organizational tools strengthen implementation capacity through emergency preparedness and workforce certification. </w:t>
      </w:r>
      <w:r w:rsidR="00F21B23">
        <w:rPr>
          <w:lang w:val="en-US"/>
        </w:rPr>
        <w:t>Incentive</w:t>
      </w:r>
      <w:r w:rsidRPr="003E0F1A">
        <w:t xml:space="preserve"> tools, though limited, facilitate financial sustainability of compliance through price adjustment mechanisms.</w:t>
      </w:r>
    </w:p>
    <w:p w:rsidR="003E0F1A" w:rsidRPr="003E0F1A" w:rsidRDefault="003E0F1A" w:rsidP="003E0F1A">
      <w:r w:rsidRPr="003E0F1A">
        <w:t>At the local level, regulatory diffusion is evident, with advanced regions adopting expanded DBP indicators and stricter standards. Overall, China’s DBP governance has evolved from isolated standard-setting toward a more comprehensive system integrating enforcement, transparency, and capacity-building.</w:t>
      </w:r>
    </w:p>
    <w:p w:rsidR="00C80298" w:rsidRPr="00C80298" w:rsidRDefault="00C80298" w:rsidP="00C80298">
      <w:pPr>
        <w:rPr>
          <w:b/>
          <w:bCs/>
        </w:rPr>
      </w:pPr>
      <w:r w:rsidRPr="00C80298">
        <w:rPr>
          <w:b/>
          <w:bCs/>
        </w:rPr>
        <w:t>Conclusions</w:t>
      </w:r>
    </w:p>
    <w:p w:rsidR="00C80298" w:rsidRPr="00C80298" w:rsidRDefault="003E0F1A" w:rsidP="00C80298">
      <w:pPr>
        <w:rPr>
          <w:rFonts w:hint="eastAsia"/>
        </w:rPr>
      </w:pPr>
      <w:r w:rsidRPr="003E0F1A">
        <w:t>China’s regulatory framework for DBPs has transitioned from minimal coverage to systematic and routine governance. A policy tool perspective demonstrates that this evolution is driven not only by stricter standards but also by an expanding portfolio of regulatory, informational, organizational, and economic instruments. This study contributes a governance-based analytical framework for understanding DBP regulation in China and highlights the importance of policy tool design in advancing drinking water safety.</w:t>
      </w:r>
    </w:p>
    <w:p w:rsidR="00C80298" w:rsidRPr="00C80298" w:rsidRDefault="00C80298" w:rsidP="00311BE2">
      <w:pPr>
        <w:spacing w:after="0" w:afterAutospacing="0"/>
        <w:rPr>
          <w:b/>
          <w:bCs/>
        </w:rPr>
      </w:pPr>
      <w:r w:rsidRPr="00C80298">
        <w:rPr>
          <w:b/>
          <w:bCs/>
        </w:rPr>
        <w:t>References</w:t>
      </w:r>
    </w:p>
    <w:p w:rsidR="00C80298" w:rsidRPr="00C80298" w:rsidRDefault="00C80298" w:rsidP="00311BE2">
      <w:pPr>
        <w:spacing w:before="0" w:beforeAutospacing="0" w:after="0" w:afterAutospacing="0"/>
      </w:pPr>
      <w:r w:rsidRPr="00C80298">
        <w:t xml:space="preserve">OECD, 1996. </w:t>
      </w:r>
      <w:r w:rsidRPr="00C80298">
        <w:rPr>
          <w:i/>
          <w:iCs/>
        </w:rPr>
        <w:t>Environmental Policy: How to Apply Economic Instruments.</w:t>
      </w:r>
      <w:r w:rsidRPr="00C80298">
        <w:t xml:space="preserve"> OECD Publishing.</w:t>
      </w:r>
    </w:p>
    <w:p w:rsidR="008323D5" w:rsidRDefault="00C80298" w:rsidP="00311BE2">
      <w:pPr>
        <w:spacing w:before="0" w:beforeAutospacing="0" w:after="0" w:afterAutospacing="0"/>
      </w:pPr>
      <w:r w:rsidRPr="00C80298">
        <w:t xml:space="preserve">World Health Organization (WHO), 2017. </w:t>
      </w:r>
      <w:r w:rsidRPr="00C80298">
        <w:rPr>
          <w:i/>
          <w:iCs/>
        </w:rPr>
        <w:t>Guidelines for Drinking-water Quality</w:t>
      </w:r>
      <w:r w:rsidRPr="00C80298">
        <w:t xml:space="preserve"> (4th ed., incorporating first addendum). WHO.</w:t>
      </w:r>
    </w:p>
    <w:sectPr w:rsidR="008323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792A54"/>
    <w:multiLevelType w:val="multilevel"/>
    <w:tmpl w:val="47A28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38D535D"/>
    <w:multiLevelType w:val="multilevel"/>
    <w:tmpl w:val="BADC1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9859880">
    <w:abstractNumId w:val="0"/>
  </w:num>
  <w:num w:numId="2" w16cid:durableId="6041961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298"/>
    <w:rsid w:val="00032ACB"/>
    <w:rsid w:val="0008113D"/>
    <w:rsid w:val="000D1EC3"/>
    <w:rsid w:val="001103F9"/>
    <w:rsid w:val="0012226F"/>
    <w:rsid w:val="00122945"/>
    <w:rsid w:val="00174F01"/>
    <w:rsid w:val="001C440A"/>
    <w:rsid w:val="001F06A1"/>
    <w:rsid w:val="00234789"/>
    <w:rsid w:val="002F070A"/>
    <w:rsid w:val="00311BE2"/>
    <w:rsid w:val="0037080C"/>
    <w:rsid w:val="003E0F1A"/>
    <w:rsid w:val="00497A29"/>
    <w:rsid w:val="00515379"/>
    <w:rsid w:val="00536908"/>
    <w:rsid w:val="005A25FD"/>
    <w:rsid w:val="00665395"/>
    <w:rsid w:val="00694AFA"/>
    <w:rsid w:val="006A4F08"/>
    <w:rsid w:val="006B6C1E"/>
    <w:rsid w:val="007000AF"/>
    <w:rsid w:val="007241EB"/>
    <w:rsid w:val="0080501B"/>
    <w:rsid w:val="008323D5"/>
    <w:rsid w:val="00846348"/>
    <w:rsid w:val="008854C1"/>
    <w:rsid w:val="008E25FC"/>
    <w:rsid w:val="00923F0C"/>
    <w:rsid w:val="0094218A"/>
    <w:rsid w:val="00A80857"/>
    <w:rsid w:val="00A83CAA"/>
    <w:rsid w:val="00A93211"/>
    <w:rsid w:val="00A9699F"/>
    <w:rsid w:val="00AF2E11"/>
    <w:rsid w:val="00B8164E"/>
    <w:rsid w:val="00B90146"/>
    <w:rsid w:val="00C426E8"/>
    <w:rsid w:val="00C46898"/>
    <w:rsid w:val="00C80298"/>
    <w:rsid w:val="00CA2444"/>
    <w:rsid w:val="00CE5AF0"/>
    <w:rsid w:val="00D173EC"/>
    <w:rsid w:val="00D73A5D"/>
    <w:rsid w:val="00D972C5"/>
    <w:rsid w:val="00DA6203"/>
    <w:rsid w:val="00E263B4"/>
    <w:rsid w:val="00EA7459"/>
    <w:rsid w:val="00EF6FC4"/>
    <w:rsid w:val="00F21B23"/>
    <w:rsid w:val="00FA4947"/>
    <w:rsid w:val="00FC6FFB"/>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EA346"/>
  <w15:chartTrackingRefBased/>
  <w15:docId w15:val="{67FA341B-663F-904E-B6E3-BDCAF68BC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2945"/>
    <w:pPr>
      <w:spacing w:before="100" w:beforeAutospacing="1" w:after="100" w:afterAutospacing="1" w:line="276" w:lineRule="auto"/>
    </w:pPr>
    <w:rPr>
      <w:rFonts w:ascii="Times New Roman" w:hAnsi="Times New Roman"/>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02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04321">
      <w:bodyDiv w:val="1"/>
      <w:marLeft w:val="0"/>
      <w:marRight w:val="0"/>
      <w:marTop w:val="0"/>
      <w:marBottom w:val="0"/>
      <w:divBdr>
        <w:top w:val="none" w:sz="0" w:space="0" w:color="auto"/>
        <w:left w:val="none" w:sz="0" w:space="0" w:color="auto"/>
        <w:bottom w:val="none" w:sz="0" w:space="0" w:color="auto"/>
        <w:right w:val="none" w:sz="0" w:space="0" w:color="auto"/>
      </w:divBdr>
    </w:div>
    <w:div w:id="275455141">
      <w:bodyDiv w:val="1"/>
      <w:marLeft w:val="0"/>
      <w:marRight w:val="0"/>
      <w:marTop w:val="0"/>
      <w:marBottom w:val="0"/>
      <w:divBdr>
        <w:top w:val="none" w:sz="0" w:space="0" w:color="auto"/>
        <w:left w:val="none" w:sz="0" w:space="0" w:color="auto"/>
        <w:bottom w:val="none" w:sz="0" w:space="0" w:color="auto"/>
        <w:right w:val="none" w:sz="0" w:space="0" w:color="auto"/>
      </w:divBdr>
    </w:div>
    <w:div w:id="315958184">
      <w:bodyDiv w:val="1"/>
      <w:marLeft w:val="0"/>
      <w:marRight w:val="0"/>
      <w:marTop w:val="0"/>
      <w:marBottom w:val="0"/>
      <w:divBdr>
        <w:top w:val="none" w:sz="0" w:space="0" w:color="auto"/>
        <w:left w:val="none" w:sz="0" w:space="0" w:color="auto"/>
        <w:bottom w:val="none" w:sz="0" w:space="0" w:color="auto"/>
        <w:right w:val="none" w:sz="0" w:space="0" w:color="auto"/>
      </w:divBdr>
    </w:div>
    <w:div w:id="499658716">
      <w:bodyDiv w:val="1"/>
      <w:marLeft w:val="0"/>
      <w:marRight w:val="0"/>
      <w:marTop w:val="0"/>
      <w:marBottom w:val="0"/>
      <w:divBdr>
        <w:top w:val="none" w:sz="0" w:space="0" w:color="auto"/>
        <w:left w:val="none" w:sz="0" w:space="0" w:color="auto"/>
        <w:bottom w:val="none" w:sz="0" w:space="0" w:color="auto"/>
        <w:right w:val="none" w:sz="0" w:space="0" w:color="auto"/>
      </w:divBdr>
    </w:div>
    <w:div w:id="643899791">
      <w:bodyDiv w:val="1"/>
      <w:marLeft w:val="0"/>
      <w:marRight w:val="0"/>
      <w:marTop w:val="0"/>
      <w:marBottom w:val="0"/>
      <w:divBdr>
        <w:top w:val="none" w:sz="0" w:space="0" w:color="auto"/>
        <w:left w:val="none" w:sz="0" w:space="0" w:color="auto"/>
        <w:bottom w:val="none" w:sz="0" w:space="0" w:color="auto"/>
        <w:right w:val="none" w:sz="0" w:space="0" w:color="auto"/>
      </w:divBdr>
    </w:div>
    <w:div w:id="664628909">
      <w:bodyDiv w:val="1"/>
      <w:marLeft w:val="0"/>
      <w:marRight w:val="0"/>
      <w:marTop w:val="0"/>
      <w:marBottom w:val="0"/>
      <w:divBdr>
        <w:top w:val="none" w:sz="0" w:space="0" w:color="auto"/>
        <w:left w:val="none" w:sz="0" w:space="0" w:color="auto"/>
        <w:bottom w:val="none" w:sz="0" w:space="0" w:color="auto"/>
        <w:right w:val="none" w:sz="0" w:space="0" w:color="auto"/>
      </w:divBdr>
    </w:div>
    <w:div w:id="713895427">
      <w:bodyDiv w:val="1"/>
      <w:marLeft w:val="0"/>
      <w:marRight w:val="0"/>
      <w:marTop w:val="0"/>
      <w:marBottom w:val="0"/>
      <w:divBdr>
        <w:top w:val="none" w:sz="0" w:space="0" w:color="auto"/>
        <w:left w:val="none" w:sz="0" w:space="0" w:color="auto"/>
        <w:bottom w:val="none" w:sz="0" w:space="0" w:color="auto"/>
        <w:right w:val="none" w:sz="0" w:space="0" w:color="auto"/>
      </w:divBdr>
    </w:div>
    <w:div w:id="754742040">
      <w:bodyDiv w:val="1"/>
      <w:marLeft w:val="0"/>
      <w:marRight w:val="0"/>
      <w:marTop w:val="0"/>
      <w:marBottom w:val="0"/>
      <w:divBdr>
        <w:top w:val="none" w:sz="0" w:space="0" w:color="auto"/>
        <w:left w:val="none" w:sz="0" w:space="0" w:color="auto"/>
        <w:bottom w:val="none" w:sz="0" w:space="0" w:color="auto"/>
        <w:right w:val="none" w:sz="0" w:space="0" w:color="auto"/>
      </w:divBdr>
    </w:div>
    <w:div w:id="821895781">
      <w:bodyDiv w:val="1"/>
      <w:marLeft w:val="0"/>
      <w:marRight w:val="0"/>
      <w:marTop w:val="0"/>
      <w:marBottom w:val="0"/>
      <w:divBdr>
        <w:top w:val="none" w:sz="0" w:space="0" w:color="auto"/>
        <w:left w:val="none" w:sz="0" w:space="0" w:color="auto"/>
        <w:bottom w:val="none" w:sz="0" w:space="0" w:color="auto"/>
        <w:right w:val="none" w:sz="0" w:space="0" w:color="auto"/>
      </w:divBdr>
    </w:div>
    <w:div w:id="1101757317">
      <w:bodyDiv w:val="1"/>
      <w:marLeft w:val="0"/>
      <w:marRight w:val="0"/>
      <w:marTop w:val="0"/>
      <w:marBottom w:val="0"/>
      <w:divBdr>
        <w:top w:val="none" w:sz="0" w:space="0" w:color="auto"/>
        <w:left w:val="none" w:sz="0" w:space="0" w:color="auto"/>
        <w:bottom w:val="none" w:sz="0" w:space="0" w:color="auto"/>
        <w:right w:val="none" w:sz="0" w:space="0" w:color="auto"/>
      </w:divBdr>
    </w:div>
    <w:div w:id="1102802733">
      <w:bodyDiv w:val="1"/>
      <w:marLeft w:val="0"/>
      <w:marRight w:val="0"/>
      <w:marTop w:val="0"/>
      <w:marBottom w:val="0"/>
      <w:divBdr>
        <w:top w:val="none" w:sz="0" w:space="0" w:color="auto"/>
        <w:left w:val="none" w:sz="0" w:space="0" w:color="auto"/>
        <w:bottom w:val="none" w:sz="0" w:space="0" w:color="auto"/>
        <w:right w:val="none" w:sz="0" w:space="0" w:color="auto"/>
      </w:divBdr>
    </w:div>
    <w:div w:id="1244533402">
      <w:bodyDiv w:val="1"/>
      <w:marLeft w:val="0"/>
      <w:marRight w:val="0"/>
      <w:marTop w:val="0"/>
      <w:marBottom w:val="0"/>
      <w:divBdr>
        <w:top w:val="none" w:sz="0" w:space="0" w:color="auto"/>
        <w:left w:val="none" w:sz="0" w:space="0" w:color="auto"/>
        <w:bottom w:val="none" w:sz="0" w:space="0" w:color="auto"/>
        <w:right w:val="none" w:sz="0" w:space="0" w:color="auto"/>
      </w:divBdr>
    </w:div>
    <w:div w:id="1485513156">
      <w:bodyDiv w:val="1"/>
      <w:marLeft w:val="0"/>
      <w:marRight w:val="0"/>
      <w:marTop w:val="0"/>
      <w:marBottom w:val="0"/>
      <w:divBdr>
        <w:top w:val="none" w:sz="0" w:space="0" w:color="auto"/>
        <w:left w:val="none" w:sz="0" w:space="0" w:color="auto"/>
        <w:bottom w:val="none" w:sz="0" w:space="0" w:color="auto"/>
        <w:right w:val="none" w:sz="0" w:space="0" w:color="auto"/>
      </w:divBdr>
    </w:div>
    <w:div w:id="1625230361">
      <w:bodyDiv w:val="1"/>
      <w:marLeft w:val="0"/>
      <w:marRight w:val="0"/>
      <w:marTop w:val="0"/>
      <w:marBottom w:val="0"/>
      <w:divBdr>
        <w:top w:val="none" w:sz="0" w:space="0" w:color="auto"/>
        <w:left w:val="none" w:sz="0" w:space="0" w:color="auto"/>
        <w:bottom w:val="none" w:sz="0" w:space="0" w:color="auto"/>
        <w:right w:val="none" w:sz="0" w:space="0" w:color="auto"/>
      </w:divBdr>
    </w:div>
    <w:div w:id="1728645415">
      <w:bodyDiv w:val="1"/>
      <w:marLeft w:val="0"/>
      <w:marRight w:val="0"/>
      <w:marTop w:val="0"/>
      <w:marBottom w:val="0"/>
      <w:divBdr>
        <w:top w:val="none" w:sz="0" w:space="0" w:color="auto"/>
        <w:left w:val="none" w:sz="0" w:space="0" w:color="auto"/>
        <w:bottom w:val="none" w:sz="0" w:space="0" w:color="auto"/>
        <w:right w:val="none" w:sz="0" w:space="0" w:color="auto"/>
      </w:divBdr>
    </w:div>
    <w:div w:id="1865895504">
      <w:bodyDiv w:val="1"/>
      <w:marLeft w:val="0"/>
      <w:marRight w:val="0"/>
      <w:marTop w:val="0"/>
      <w:marBottom w:val="0"/>
      <w:divBdr>
        <w:top w:val="none" w:sz="0" w:space="0" w:color="auto"/>
        <w:left w:val="none" w:sz="0" w:space="0" w:color="auto"/>
        <w:bottom w:val="none" w:sz="0" w:space="0" w:color="auto"/>
        <w:right w:val="none" w:sz="0" w:space="0" w:color="auto"/>
      </w:divBdr>
    </w:div>
    <w:div w:id="1871914158">
      <w:bodyDiv w:val="1"/>
      <w:marLeft w:val="0"/>
      <w:marRight w:val="0"/>
      <w:marTop w:val="0"/>
      <w:marBottom w:val="0"/>
      <w:divBdr>
        <w:top w:val="none" w:sz="0" w:space="0" w:color="auto"/>
        <w:left w:val="none" w:sz="0" w:space="0" w:color="auto"/>
        <w:bottom w:val="none" w:sz="0" w:space="0" w:color="auto"/>
        <w:right w:val="none" w:sz="0" w:space="0" w:color="auto"/>
      </w:divBdr>
    </w:div>
    <w:div w:id="193909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731</Words>
  <Characters>4173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Yixin Dai</dc:creator>
  <cp:keywords/>
  <dc:description/>
  <cp:lastModifiedBy>Yixin Dai</cp:lastModifiedBy>
  <cp:revision>14</cp:revision>
  <dcterms:created xsi:type="dcterms:W3CDTF">2026-02-15T16:23:00Z</dcterms:created>
  <dcterms:modified xsi:type="dcterms:W3CDTF">2026-02-16T03:10:00Z</dcterms:modified>
</cp:coreProperties>
</file>