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D65CE9" w14:textId="685F2ECD" w:rsidR="005B281D" w:rsidRDefault="005B281D" w:rsidP="008C2B0A">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12" w:lineRule="auto"/>
        <w:jc w:val="center"/>
        <w:rPr>
          <w:rFonts w:ascii="Helvetica" w:hAnsi="Helvetica" w:cs="Helvetica"/>
          <w:color w:val="000000"/>
          <w:kern w:val="36"/>
          <w:sz w:val="28"/>
          <w:szCs w:val="28"/>
          <w:lang w:val="en-GB" w:eastAsia="en-US"/>
        </w:rPr>
      </w:pPr>
      <w:r w:rsidRPr="005B281D">
        <w:rPr>
          <w:rFonts w:ascii="Helvetica" w:hAnsi="Helvetica" w:cs="Helvetica"/>
          <w:color w:val="000000"/>
          <w:kern w:val="36"/>
          <w:sz w:val="28"/>
          <w:szCs w:val="28"/>
          <w:lang w:val="en-GB" w:eastAsia="en-US"/>
        </w:rPr>
        <w:t>Analysis of Temporal Variation in Algal Organic Matter Characteristics and Risk Assessment of Disinfection By</w:t>
      </w:r>
      <w:r w:rsidR="00874596">
        <w:rPr>
          <w:rFonts w:ascii="Helvetica" w:hAnsi="Helvetica" w:cs="Helvetica"/>
          <w:color w:val="000000"/>
          <w:kern w:val="36"/>
          <w:sz w:val="28"/>
          <w:szCs w:val="28"/>
          <w:lang w:val="en-GB" w:eastAsia="en-US"/>
        </w:rPr>
        <w:t>-</w:t>
      </w:r>
      <w:r w:rsidRPr="005B281D">
        <w:rPr>
          <w:rFonts w:ascii="Helvetica" w:hAnsi="Helvetica" w:cs="Helvetica"/>
          <w:color w:val="000000"/>
          <w:kern w:val="36"/>
          <w:sz w:val="28"/>
          <w:szCs w:val="28"/>
          <w:lang w:val="en-GB" w:eastAsia="en-US"/>
        </w:rPr>
        <w:t>product</w:t>
      </w:r>
      <w:r w:rsidR="00874596">
        <w:rPr>
          <w:rFonts w:ascii="Helvetica" w:hAnsi="Helvetica" w:cs="Helvetica"/>
          <w:color w:val="000000"/>
          <w:kern w:val="36"/>
          <w:sz w:val="28"/>
          <w:szCs w:val="28"/>
          <w:lang w:val="en-GB" w:eastAsia="en-US"/>
        </w:rPr>
        <w:t>s</w:t>
      </w:r>
      <w:r w:rsidRPr="005B281D">
        <w:rPr>
          <w:rFonts w:ascii="Helvetica" w:hAnsi="Helvetica" w:cs="Helvetica"/>
          <w:color w:val="000000"/>
          <w:kern w:val="36"/>
          <w:sz w:val="28"/>
          <w:szCs w:val="28"/>
          <w:lang w:val="en-GB" w:eastAsia="en-US"/>
        </w:rPr>
        <w:t xml:space="preserve"> Formation</w:t>
      </w:r>
      <w:r w:rsidRPr="005B281D">
        <w:rPr>
          <w:rFonts w:ascii="Helvetica" w:hAnsi="Helvetica" w:cs="Helvetica" w:hint="eastAsia"/>
          <w:color w:val="000000"/>
          <w:kern w:val="36"/>
          <w:sz w:val="28"/>
          <w:szCs w:val="28"/>
          <w:lang w:val="en-GB" w:eastAsia="en-US"/>
        </w:rPr>
        <w:t xml:space="preserve"> </w:t>
      </w:r>
    </w:p>
    <w:p w14:paraId="3A63F723" w14:textId="0A4C7DB5" w:rsidR="00163D6E" w:rsidRPr="007B6E78" w:rsidRDefault="007B6E78">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60" w:lineRule="auto"/>
        <w:jc w:val="center"/>
        <w:rPr>
          <w:rFonts w:ascii="Arial" w:eastAsia="Times New Roman" w:hAnsi="Arial" w:cs="Arial"/>
          <w:b/>
          <w:kern w:val="0"/>
          <w:sz w:val="18"/>
          <w:szCs w:val="18"/>
          <w:vertAlign w:val="superscript"/>
          <w:lang w:val="en-GB" w:eastAsia="en-US"/>
        </w:rPr>
      </w:pPr>
      <w:r w:rsidRPr="007B6E78">
        <w:rPr>
          <w:rFonts w:ascii="Arial" w:eastAsia="等线" w:hAnsi="Arial" w:cs="Arial"/>
          <w:b/>
          <w:kern w:val="0"/>
          <w:sz w:val="18"/>
          <w:szCs w:val="18"/>
          <w:lang w:val="en-GB"/>
        </w:rPr>
        <w:t>Yuxuan Xie</w:t>
      </w:r>
      <w:r w:rsidR="00163D6E">
        <w:rPr>
          <w:rFonts w:ascii="Arial" w:eastAsia="Times New Roman" w:hAnsi="Arial" w:cs="Arial"/>
          <w:b/>
          <w:kern w:val="0"/>
          <w:sz w:val="18"/>
          <w:szCs w:val="18"/>
          <w:vertAlign w:val="superscript"/>
          <w:lang w:val="en-GB" w:eastAsia="en-US"/>
        </w:rPr>
        <w:t>1</w:t>
      </w:r>
      <w:r w:rsidR="00163D6E">
        <w:rPr>
          <w:rFonts w:ascii="Arial" w:eastAsia="Times New Roman" w:hAnsi="Arial" w:cs="Arial"/>
          <w:b/>
          <w:kern w:val="0"/>
          <w:sz w:val="18"/>
          <w:szCs w:val="18"/>
          <w:lang w:val="en-GB" w:eastAsia="en-US"/>
        </w:rPr>
        <w:t xml:space="preserve">, </w:t>
      </w:r>
      <w:r w:rsidR="00B71E24" w:rsidRPr="006C368D">
        <w:rPr>
          <w:rFonts w:ascii="等线" w:eastAsia="等线" w:hAnsi="等线" w:cs="Arial"/>
          <w:b/>
          <w:kern w:val="0"/>
          <w:sz w:val="18"/>
          <w:szCs w:val="18"/>
          <w:lang w:val="en-GB"/>
        </w:rPr>
        <w:t xml:space="preserve">Fan </w:t>
      </w:r>
      <w:r w:rsidR="00B71E24">
        <w:rPr>
          <w:rFonts w:ascii="Arial" w:eastAsia="Times New Roman" w:hAnsi="Arial" w:cs="Arial"/>
          <w:b/>
          <w:kern w:val="0"/>
          <w:sz w:val="18"/>
          <w:szCs w:val="18"/>
          <w:lang w:val="en-GB" w:eastAsia="en-US"/>
        </w:rPr>
        <w:t>Zhou</w:t>
      </w:r>
      <w:r>
        <w:rPr>
          <w:rFonts w:ascii="Arial" w:eastAsia="Times New Roman" w:hAnsi="Arial" w:cs="Arial"/>
          <w:b/>
          <w:kern w:val="0"/>
          <w:sz w:val="18"/>
          <w:szCs w:val="18"/>
          <w:vertAlign w:val="superscript"/>
          <w:lang w:val="en-GB" w:eastAsia="en-US"/>
        </w:rPr>
        <w:t>1</w:t>
      </w:r>
      <w:r w:rsidR="00163D6E">
        <w:rPr>
          <w:rFonts w:ascii="Arial" w:eastAsia="Times New Roman" w:hAnsi="Arial" w:cs="Arial"/>
          <w:b/>
          <w:kern w:val="0"/>
          <w:sz w:val="18"/>
          <w:szCs w:val="18"/>
          <w:lang w:val="en-GB" w:eastAsia="en-US"/>
        </w:rPr>
        <w:t>,</w:t>
      </w:r>
      <w:r w:rsidR="00163D6E">
        <w:rPr>
          <w:rFonts w:ascii="Arial" w:hAnsi="Arial" w:cs="Arial"/>
          <w:kern w:val="0"/>
          <w:sz w:val="18"/>
          <w:szCs w:val="18"/>
          <w:lang w:val="en-GB"/>
        </w:rPr>
        <w:t xml:space="preserve"> </w:t>
      </w:r>
      <w:r w:rsidR="00B71E24">
        <w:rPr>
          <w:rFonts w:ascii="等线" w:eastAsia="等线" w:hAnsi="等线" w:cs="Arial"/>
          <w:b/>
          <w:kern w:val="0"/>
          <w:sz w:val="18"/>
          <w:szCs w:val="18"/>
          <w:lang w:val="en-GB"/>
        </w:rPr>
        <w:t>Jun</w:t>
      </w:r>
      <w:r w:rsidR="00B71E24" w:rsidRPr="00B71E24">
        <w:rPr>
          <w:rFonts w:ascii="等线" w:eastAsia="等线" w:hAnsi="等线" w:cs="Arial"/>
          <w:b/>
          <w:kern w:val="0"/>
          <w:sz w:val="18"/>
          <w:szCs w:val="18"/>
          <w:lang w:val="en-GB"/>
        </w:rPr>
        <w:t xml:space="preserve"> </w:t>
      </w:r>
      <w:r w:rsidR="00B71E24">
        <w:rPr>
          <w:rFonts w:ascii="Arial" w:eastAsia="Times New Roman" w:hAnsi="Arial" w:cs="Arial"/>
          <w:b/>
          <w:kern w:val="0"/>
          <w:sz w:val="18"/>
          <w:szCs w:val="18"/>
          <w:lang w:val="en-GB" w:eastAsia="en-US"/>
        </w:rPr>
        <w:t>Wang</w:t>
      </w:r>
      <w:r w:rsidR="00B71E24">
        <w:rPr>
          <w:rFonts w:ascii="Arial" w:eastAsia="Times New Roman" w:hAnsi="Arial" w:cs="Arial"/>
          <w:b/>
          <w:kern w:val="0"/>
          <w:sz w:val="18"/>
          <w:szCs w:val="18"/>
          <w:vertAlign w:val="superscript"/>
          <w:lang w:val="en-GB" w:eastAsia="en-US"/>
        </w:rPr>
        <w:t>1</w:t>
      </w:r>
      <w:r w:rsidR="00B71E24">
        <w:rPr>
          <w:rFonts w:ascii="Arial" w:eastAsia="Times New Roman" w:hAnsi="Arial" w:cs="Arial"/>
          <w:b/>
          <w:kern w:val="0"/>
          <w:sz w:val="18"/>
          <w:szCs w:val="18"/>
          <w:lang w:val="en-GB" w:eastAsia="en-US"/>
        </w:rPr>
        <w:t>,</w:t>
      </w:r>
      <w:r w:rsidR="00B71E24">
        <w:rPr>
          <w:rFonts w:ascii="Arial" w:hAnsi="Arial" w:cs="Arial"/>
          <w:kern w:val="0"/>
          <w:sz w:val="18"/>
          <w:szCs w:val="18"/>
          <w:lang w:val="en-GB"/>
        </w:rPr>
        <w:t xml:space="preserve"> </w:t>
      </w:r>
      <w:r w:rsidRPr="007B6E78">
        <w:rPr>
          <w:rFonts w:ascii="Arial" w:eastAsia="Times New Roman" w:hAnsi="Arial" w:cs="Arial" w:hint="eastAsia"/>
          <w:b/>
          <w:kern w:val="0"/>
          <w:sz w:val="18"/>
          <w:szCs w:val="18"/>
          <w:lang w:val="en-GB" w:eastAsia="en-US"/>
        </w:rPr>
        <w:t>Chao Chen</w:t>
      </w:r>
      <w:r>
        <w:rPr>
          <w:rFonts w:ascii="Arial" w:eastAsia="Times New Roman" w:hAnsi="Arial" w:cs="Arial"/>
          <w:b/>
          <w:kern w:val="0"/>
          <w:sz w:val="18"/>
          <w:szCs w:val="18"/>
          <w:vertAlign w:val="superscript"/>
          <w:lang w:val="en-GB" w:eastAsia="en-US"/>
        </w:rPr>
        <w:t>1</w:t>
      </w:r>
      <w:r>
        <w:rPr>
          <w:rFonts w:ascii="Arial" w:hAnsi="Arial" w:cs="Arial"/>
          <w:b/>
          <w:kern w:val="0"/>
          <w:sz w:val="18"/>
          <w:szCs w:val="18"/>
          <w:vertAlign w:val="superscript"/>
          <w:lang w:val="en-GB"/>
        </w:rPr>
        <w:t>,*</w:t>
      </w:r>
    </w:p>
    <w:p w14:paraId="280CD9DA" w14:textId="01A0290F"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spacing w:line="360" w:lineRule="auto"/>
        <w:jc w:val="center"/>
        <w:outlineLvl w:val="0"/>
        <w:rPr>
          <w:rFonts w:ascii="Arial" w:hAnsi="Arial" w:cs="Arial"/>
          <w:kern w:val="0"/>
          <w:sz w:val="18"/>
          <w:szCs w:val="18"/>
          <w:lang w:val="en-GB"/>
        </w:rPr>
      </w:pPr>
      <w:r w:rsidRPr="00AD0547">
        <w:rPr>
          <w:rFonts w:ascii="Arial" w:hAnsi="Arial" w:cs="Arial"/>
          <w:bCs/>
          <w:kern w:val="0"/>
          <w:sz w:val="18"/>
          <w:szCs w:val="18"/>
        </w:rPr>
        <w:t>(</w:t>
      </w:r>
      <w:r w:rsidRPr="00AD0547">
        <w:rPr>
          <w:rFonts w:ascii="Arial" w:hAnsi="Arial" w:cs="Arial"/>
          <w:bCs/>
          <w:kern w:val="0"/>
          <w:sz w:val="18"/>
          <w:szCs w:val="18"/>
          <w:vertAlign w:val="superscript"/>
          <w:lang w:val="en-GB"/>
        </w:rPr>
        <w:t>1</w:t>
      </w:r>
      <w:r>
        <w:rPr>
          <w:rFonts w:ascii="Arial" w:hAnsi="Arial" w:cs="Arial"/>
          <w:b/>
          <w:kern w:val="0"/>
          <w:sz w:val="18"/>
          <w:szCs w:val="18"/>
          <w:vertAlign w:val="superscript"/>
          <w:lang w:val="en-GB"/>
        </w:rPr>
        <w:t xml:space="preserve"> </w:t>
      </w:r>
      <w:r w:rsidR="00AD0547" w:rsidRPr="00AD0547">
        <w:rPr>
          <w:rFonts w:ascii="Arial" w:eastAsia="Times New Roman" w:hAnsi="Arial" w:cs="Arial" w:hint="eastAsia"/>
          <w:kern w:val="0"/>
          <w:sz w:val="18"/>
          <w:szCs w:val="18"/>
          <w:lang w:eastAsia="en-US"/>
        </w:rPr>
        <w:t>School of Environment, Tsinghua University, Beijing 100084, China</w:t>
      </w:r>
      <w:r>
        <w:rPr>
          <w:rFonts w:ascii="Arial" w:hAnsi="Arial" w:cs="Arial"/>
          <w:kern w:val="0"/>
          <w:sz w:val="18"/>
          <w:szCs w:val="18"/>
        </w:rPr>
        <w:t>)</w:t>
      </w:r>
    </w:p>
    <w:p w14:paraId="100E3566" w14:textId="798E077F" w:rsidR="00163D6E" w:rsidRPr="006B68E2" w:rsidRDefault="00163D6E">
      <w:pPr>
        <w:spacing w:line="360" w:lineRule="auto"/>
        <w:rPr>
          <w:rFonts w:ascii="Arial" w:hAnsi="Arial" w:cs="Arial"/>
          <w:sz w:val="24"/>
        </w:rPr>
      </w:pPr>
      <w:r w:rsidRPr="006B68E2">
        <w:rPr>
          <w:rFonts w:ascii="Arial" w:hAnsi="Arial" w:cs="Arial"/>
          <w:b/>
          <w:sz w:val="24"/>
        </w:rPr>
        <w:t>Presenting Author:</w:t>
      </w:r>
      <w:r w:rsidRPr="006B68E2">
        <w:rPr>
          <w:rFonts w:ascii="Arial" w:hAnsi="Arial" w:cs="Arial" w:hint="eastAsia"/>
          <w:b/>
          <w:sz w:val="24"/>
        </w:rPr>
        <w:t xml:space="preserve"> </w:t>
      </w:r>
      <w:r w:rsidR="00B71E24">
        <w:rPr>
          <w:sz w:val="24"/>
        </w:rPr>
        <w:t>Yuxuan Xie</w:t>
      </w:r>
    </w:p>
    <w:p w14:paraId="0C233C2F" w14:textId="37695B6A" w:rsidR="00163D6E" w:rsidRPr="006B68E2" w:rsidRDefault="00163D6E" w:rsidP="008C2B0A">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line="312" w:lineRule="auto"/>
        <w:ind w:right="851"/>
        <w:outlineLvl w:val="0"/>
        <w:rPr>
          <w:rFonts w:eastAsia="Times New Roman"/>
          <w:kern w:val="0"/>
          <w:sz w:val="24"/>
          <w:lang w:val="en-GB" w:eastAsia="en-US"/>
        </w:rPr>
      </w:pPr>
      <w:r w:rsidRPr="006B68E2">
        <w:rPr>
          <w:rFonts w:ascii="Arial" w:hAnsi="Arial" w:cs="Arial"/>
          <w:b/>
          <w:bCs/>
          <w:sz w:val="24"/>
        </w:rPr>
        <w:t xml:space="preserve">Keywords: </w:t>
      </w:r>
      <w:r w:rsidR="005B281D" w:rsidRPr="006B68E2">
        <w:rPr>
          <w:rFonts w:eastAsia="Times New Roman"/>
          <w:kern w:val="0"/>
          <w:sz w:val="24"/>
          <w:lang w:val="en-GB" w:eastAsia="en-US"/>
        </w:rPr>
        <w:t>Algal Organic Matter</w:t>
      </w:r>
      <w:r w:rsidR="006B68E2" w:rsidRPr="006B68E2">
        <w:rPr>
          <w:rFonts w:eastAsia="Times New Roman"/>
          <w:kern w:val="0"/>
          <w:sz w:val="24"/>
          <w:lang w:val="en-GB" w:eastAsia="en-US"/>
        </w:rPr>
        <w:t>s (AOM)</w:t>
      </w:r>
      <w:r w:rsidR="005B281D" w:rsidRPr="006B68E2">
        <w:rPr>
          <w:rFonts w:eastAsia="Times New Roman"/>
          <w:kern w:val="0"/>
          <w:sz w:val="24"/>
          <w:lang w:val="en-GB" w:eastAsia="en-US"/>
        </w:rPr>
        <w:t>; Disinfection By-products</w:t>
      </w:r>
      <w:r w:rsidR="006B68E2" w:rsidRPr="006B68E2">
        <w:rPr>
          <w:rFonts w:eastAsia="Times New Roman"/>
          <w:kern w:val="0"/>
          <w:sz w:val="24"/>
          <w:lang w:val="en-GB" w:eastAsia="en-US"/>
        </w:rPr>
        <w:t xml:space="preserve"> (DBPs)</w:t>
      </w:r>
      <w:r w:rsidR="005B281D" w:rsidRPr="006B68E2">
        <w:rPr>
          <w:rFonts w:eastAsia="Times New Roman"/>
          <w:kern w:val="0"/>
          <w:sz w:val="24"/>
          <w:lang w:val="en-GB" w:eastAsia="en-US"/>
        </w:rPr>
        <w:t>; Nitrosamines; Trihalomethanes</w:t>
      </w:r>
      <w:r w:rsidR="006B68E2" w:rsidRPr="006B68E2">
        <w:rPr>
          <w:rFonts w:eastAsia="Times New Roman"/>
          <w:kern w:val="0"/>
          <w:sz w:val="24"/>
          <w:lang w:val="en-GB" w:eastAsia="en-US"/>
        </w:rPr>
        <w:t xml:space="preserve"> (THMs)</w:t>
      </w:r>
      <w:r w:rsidR="005B281D" w:rsidRPr="006B68E2">
        <w:rPr>
          <w:rFonts w:eastAsia="Times New Roman"/>
          <w:kern w:val="0"/>
          <w:sz w:val="24"/>
          <w:lang w:val="en-GB" w:eastAsia="en-US"/>
        </w:rPr>
        <w:t>; Temporal Heterogeneity</w:t>
      </w:r>
      <w:r w:rsidRPr="006B68E2">
        <w:rPr>
          <w:rFonts w:eastAsia="Times New Roman"/>
          <w:kern w:val="0"/>
          <w:sz w:val="24"/>
          <w:lang w:val="en-GB" w:eastAsia="en-US"/>
        </w:rPr>
        <w:t>.</w:t>
      </w:r>
    </w:p>
    <w:p w14:paraId="3EC89E68"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Introduction</w:t>
      </w:r>
    </w:p>
    <w:p w14:paraId="07FC6D20" w14:textId="596A7509" w:rsidR="00D92D01" w:rsidRPr="00D92D01" w:rsidRDefault="00D92D01" w:rsidP="00855471">
      <w:pPr>
        <w:adjustRightInd w:val="0"/>
        <w:snapToGrid w:val="0"/>
        <w:spacing w:line="312" w:lineRule="auto"/>
        <w:ind w:firstLineChars="117" w:firstLine="281"/>
        <w:rPr>
          <w:color w:val="000000"/>
          <w:sz w:val="24"/>
        </w:rPr>
      </w:pPr>
      <w:r>
        <w:rPr>
          <w:color w:val="000000"/>
          <w:sz w:val="24"/>
        </w:rPr>
        <w:t>H</w:t>
      </w:r>
      <w:r w:rsidRPr="00D92D01">
        <w:rPr>
          <w:color w:val="000000"/>
          <w:sz w:val="24"/>
        </w:rPr>
        <w:t>armful algal blooms (HABs) have emerged as a major risk to both public health and aquatic ecosystems, compromising source water quality and challenging water treatment processes. Algal blooms, particularly those dominated by cyanobacteria in warm seasons, exhibit distinct periodicity and temporal dynamics. Throughout the cyanobacterial life cycle</w:t>
      </w:r>
      <w:r w:rsidR="00C44531">
        <w:rPr>
          <w:color w:val="000000"/>
          <w:sz w:val="24"/>
        </w:rPr>
        <w:t xml:space="preserve">, </w:t>
      </w:r>
      <w:r w:rsidRPr="00D92D01">
        <w:rPr>
          <w:color w:val="000000"/>
          <w:sz w:val="24"/>
        </w:rPr>
        <w:t xml:space="preserve">the transformation and behavior of AOM vary significantly. Consequently, </w:t>
      </w:r>
      <w:r w:rsidR="00B71E24">
        <w:rPr>
          <w:color w:val="000000"/>
          <w:sz w:val="24"/>
        </w:rPr>
        <w:t xml:space="preserve">various </w:t>
      </w:r>
      <w:r w:rsidRPr="00D92D01">
        <w:rPr>
          <w:color w:val="000000"/>
          <w:sz w:val="24"/>
        </w:rPr>
        <w:t xml:space="preserve">DBP formation potential of AOM likely differs </w:t>
      </w:r>
      <w:r w:rsidR="00B71E24">
        <w:rPr>
          <w:color w:val="000000"/>
          <w:sz w:val="24"/>
        </w:rPr>
        <w:t>during</w:t>
      </w:r>
      <w:r w:rsidRPr="00D92D01">
        <w:rPr>
          <w:color w:val="000000"/>
          <w:sz w:val="24"/>
        </w:rPr>
        <w:t xml:space="preserve"> bloom stages. Investigating the temporal variation in AOM characteristics and the associated mechanism of DBP</w:t>
      </w:r>
      <w:r w:rsidR="00874596">
        <w:rPr>
          <w:color w:val="000000"/>
          <w:sz w:val="24"/>
        </w:rPr>
        <w:t>s</w:t>
      </w:r>
      <w:r w:rsidRPr="00D92D01">
        <w:rPr>
          <w:color w:val="000000"/>
          <w:sz w:val="24"/>
        </w:rPr>
        <w:t xml:space="preserve"> formation is therefore critically important. This research aims to clarify these dynamics, establish quantitative models linking algal density to AOM, and ultimately </w:t>
      </w:r>
      <w:r w:rsidR="00B71E24">
        <w:rPr>
          <w:color w:val="000000"/>
          <w:sz w:val="24"/>
        </w:rPr>
        <w:t>establish</w:t>
      </w:r>
      <w:r w:rsidRPr="00D92D01">
        <w:rPr>
          <w:color w:val="000000"/>
          <w:sz w:val="24"/>
        </w:rPr>
        <w:t xml:space="preserve"> targeted source water management strategies, holding substantial scientific and environmental significance.</w:t>
      </w:r>
    </w:p>
    <w:p w14:paraId="2D77E7B2"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hint="eastAsia"/>
          <w:b/>
          <w:bCs/>
          <w:sz w:val="24"/>
        </w:rPr>
        <w:t xml:space="preserve">Materials and </w:t>
      </w:r>
      <w:r>
        <w:rPr>
          <w:rFonts w:ascii="Arial" w:hAnsi="Arial" w:cs="Arial"/>
          <w:b/>
          <w:bCs/>
          <w:sz w:val="24"/>
        </w:rPr>
        <w:t>Methods</w:t>
      </w:r>
    </w:p>
    <w:p w14:paraId="71814C12" w14:textId="66C16D56" w:rsidR="00D92D01" w:rsidRPr="00D92D01" w:rsidRDefault="00D92D01" w:rsidP="00855471">
      <w:pPr>
        <w:adjustRightInd w:val="0"/>
        <w:snapToGrid w:val="0"/>
        <w:spacing w:line="312" w:lineRule="auto"/>
        <w:ind w:firstLineChars="117" w:firstLine="281"/>
        <w:rPr>
          <w:color w:val="000000"/>
          <w:sz w:val="24"/>
        </w:rPr>
      </w:pPr>
      <w:r w:rsidRPr="00D92D01">
        <w:rPr>
          <w:color w:val="000000"/>
          <w:sz w:val="24"/>
        </w:rPr>
        <w:t xml:space="preserve">This study focused on </w:t>
      </w:r>
      <w:r w:rsidRPr="00B71E24">
        <w:rPr>
          <w:i/>
          <w:color w:val="000000"/>
          <w:sz w:val="24"/>
        </w:rPr>
        <w:t>Microcystis aeruginosa</w:t>
      </w:r>
      <w:r w:rsidR="00C44531">
        <w:rPr>
          <w:color w:val="000000"/>
          <w:sz w:val="24"/>
        </w:rPr>
        <w:t xml:space="preserve"> </w:t>
      </w:r>
      <w:r w:rsidRPr="00D92D01">
        <w:rPr>
          <w:color w:val="000000"/>
          <w:sz w:val="24"/>
        </w:rPr>
        <w:t xml:space="preserve">(FACHB-315), a common bloom-forming cyanobacterium. Laboratory-scale cultivation was conducted to simulate its growth cycle. Samples were collected </w:t>
      </w:r>
      <w:r w:rsidR="00B71E24">
        <w:rPr>
          <w:color w:val="000000"/>
          <w:sz w:val="24"/>
        </w:rPr>
        <w:t xml:space="preserve">from the incubation glassware </w:t>
      </w:r>
      <w:r w:rsidRPr="00D92D01">
        <w:rPr>
          <w:color w:val="000000"/>
          <w:sz w:val="24"/>
        </w:rPr>
        <w:t>every 10 days. A freeze-thaw method was employed to separate intracellular and extracellular organic matter.</w:t>
      </w:r>
    </w:p>
    <w:p w14:paraId="03BC355B" w14:textId="2083F453" w:rsidR="00D92D01" w:rsidRPr="00D92D01" w:rsidRDefault="006B68E2" w:rsidP="00855471">
      <w:pPr>
        <w:adjustRightInd w:val="0"/>
        <w:snapToGrid w:val="0"/>
        <w:spacing w:line="312" w:lineRule="auto"/>
        <w:ind w:firstLineChars="117" w:firstLine="281"/>
        <w:rPr>
          <w:color w:val="000000"/>
          <w:sz w:val="24"/>
        </w:rPr>
      </w:pPr>
      <w:r w:rsidRPr="006B68E2">
        <w:rPr>
          <w:color w:val="000000"/>
          <w:sz w:val="24"/>
        </w:rPr>
        <w:t xml:space="preserve">A comprehensive suite of analytical methods was applied to characterize the AOM, including the </w:t>
      </w:r>
      <w:r w:rsidR="00B71E24">
        <w:rPr>
          <w:color w:val="000000"/>
          <w:sz w:val="24"/>
        </w:rPr>
        <w:t>bulk</w:t>
      </w:r>
      <w:r w:rsidRPr="006B68E2">
        <w:rPr>
          <w:color w:val="000000"/>
          <w:sz w:val="24"/>
        </w:rPr>
        <w:t xml:space="preserve"> organic indicators (TOC and DON), nitrogen species (NH</w:t>
      </w:r>
      <w:r w:rsidRPr="006B68E2">
        <w:rPr>
          <w:color w:val="000000"/>
          <w:sz w:val="24"/>
          <w:vertAlign w:val="subscript"/>
        </w:rPr>
        <w:t>4</w:t>
      </w:r>
      <w:r w:rsidRPr="006B68E2">
        <w:rPr>
          <w:color w:val="000000"/>
          <w:sz w:val="24"/>
        </w:rPr>
        <w:t>⁺-N, NO</w:t>
      </w:r>
      <w:r w:rsidRPr="006B68E2">
        <w:rPr>
          <w:color w:val="000000"/>
          <w:sz w:val="24"/>
          <w:vertAlign w:val="subscript"/>
        </w:rPr>
        <w:t>2</w:t>
      </w:r>
      <w:r w:rsidRPr="006B68E2">
        <w:rPr>
          <w:color w:val="000000"/>
          <w:sz w:val="24"/>
        </w:rPr>
        <w:t>⁻, and NO</w:t>
      </w:r>
      <w:r w:rsidRPr="006B68E2">
        <w:rPr>
          <w:color w:val="000000"/>
          <w:sz w:val="24"/>
          <w:vertAlign w:val="subscript"/>
        </w:rPr>
        <w:t>3</w:t>
      </w:r>
      <w:r w:rsidRPr="006B68E2">
        <w:rPr>
          <w:color w:val="000000"/>
          <w:sz w:val="24"/>
        </w:rPr>
        <w:t>⁻), spectral indices (UV</w:t>
      </w:r>
      <w:r w:rsidRPr="006B68E2">
        <w:rPr>
          <w:color w:val="000000"/>
          <w:sz w:val="24"/>
          <w:vertAlign w:val="subscript"/>
        </w:rPr>
        <w:t>254</w:t>
      </w:r>
      <w:r>
        <w:rPr>
          <w:color w:val="000000"/>
          <w:sz w:val="24"/>
        </w:rPr>
        <w:t xml:space="preserve"> </w:t>
      </w:r>
      <w:r w:rsidRPr="006B68E2">
        <w:rPr>
          <w:color w:val="000000"/>
          <w:sz w:val="24"/>
        </w:rPr>
        <w:t>and 3D-EEM), nitrogenous organic matter (</w:t>
      </w:r>
      <w:r w:rsidR="00B71E24">
        <w:rPr>
          <w:color w:val="000000"/>
          <w:sz w:val="24"/>
        </w:rPr>
        <w:t xml:space="preserve">total </w:t>
      </w:r>
      <w:r w:rsidRPr="006B68E2">
        <w:rPr>
          <w:color w:val="000000"/>
          <w:sz w:val="24"/>
        </w:rPr>
        <w:t xml:space="preserve">protein and </w:t>
      </w:r>
      <w:r w:rsidR="00B71E24">
        <w:rPr>
          <w:color w:val="000000"/>
          <w:sz w:val="24"/>
        </w:rPr>
        <w:t xml:space="preserve">individual </w:t>
      </w:r>
      <w:r w:rsidRPr="006B68E2">
        <w:rPr>
          <w:color w:val="000000"/>
          <w:sz w:val="24"/>
        </w:rPr>
        <w:t>free amino acid</w:t>
      </w:r>
      <w:r w:rsidR="00B71E24">
        <w:rPr>
          <w:color w:val="000000"/>
          <w:sz w:val="24"/>
        </w:rPr>
        <w:t>s</w:t>
      </w:r>
      <w:r w:rsidRPr="006B68E2">
        <w:rPr>
          <w:color w:val="000000"/>
          <w:sz w:val="24"/>
        </w:rPr>
        <w:t xml:space="preserve">), molecular weight distribution, and concentrations of </w:t>
      </w:r>
      <w:r w:rsidR="000B0474">
        <w:rPr>
          <w:color w:val="000000"/>
          <w:sz w:val="24"/>
        </w:rPr>
        <w:t xml:space="preserve">representative </w:t>
      </w:r>
      <w:r w:rsidRPr="006B68E2">
        <w:rPr>
          <w:color w:val="000000"/>
          <w:sz w:val="24"/>
        </w:rPr>
        <w:t>DBPs</w:t>
      </w:r>
      <w:r w:rsidR="000B0474">
        <w:rPr>
          <w:color w:val="000000"/>
          <w:sz w:val="24"/>
        </w:rPr>
        <w:t xml:space="preserve"> (i.e. trihalomethanes (THMs) and nitrosamines)</w:t>
      </w:r>
      <w:r w:rsidRPr="006B68E2">
        <w:rPr>
          <w:color w:val="000000"/>
          <w:sz w:val="24"/>
        </w:rPr>
        <w:t xml:space="preserve"> and their </w:t>
      </w:r>
      <w:r w:rsidR="000B0474">
        <w:rPr>
          <w:color w:val="000000"/>
          <w:sz w:val="24"/>
        </w:rPr>
        <w:t>formation potential (FP)</w:t>
      </w:r>
      <w:r w:rsidRPr="006B68E2">
        <w:rPr>
          <w:color w:val="000000"/>
          <w:sz w:val="24"/>
        </w:rPr>
        <w:t>. Furthermore, the polarity rapid assessment method (PRAM) was used to analyze the proportion of hydrophobic/hydrophilic and charged/neutral fractions</w:t>
      </w:r>
      <w:r w:rsidR="00D92D01" w:rsidRPr="00D92D01">
        <w:rPr>
          <w:color w:val="000000"/>
          <w:sz w:val="24"/>
        </w:rPr>
        <w:t>.</w:t>
      </w:r>
    </w:p>
    <w:p w14:paraId="55FC80DB" w14:textId="0D8E113C" w:rsidR="006B68E2" w:rsidRPr="006B68E2" w:rsidRDefault="00163D6E" w:rsidP="006B68E2">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Results</w:t>
      </w:r>
      <w:r>
        <w:rPr>
          <w:rFonts w:ascii="Arial" w:hAnsi="Arial" w:cs="Arial" w:hint="eastAsia"/>
          <w:b/>
          <w:bCs/>
          <w:sz w:val="24"/>
        </w:rPr>
        <w:t xml:space="preserve"> and Discussion</w:t>
      </w:r>
    </w:p>
    <w:p w14:paraId="30DB4DF6" w14:textId="16BC2A98" w:rsidR="006B68E2" w:rsidRPr="006B68E2" w:rsidRDefault="006B68E2" w:rsidP="00855471">
      <w:pPr>
        <w:adjustRightInd w:val="0"/>
        <w:snapToGrid w:val="0"/>
        <w:spacing w:line="312" w:lineRule="auto"/>
        <w:ind w:firstLineChars="117" w:firstLine="281"/>
        <w:rPr>
          <w:color w:val="000000"/>
          <w:sz w:val="24"/>
        </w:rPr>
      </w:pPr>
      <w:r w:rsidRPr="006B68E2">
        <w:rPr>
          <w:color w:val="000000"/>
          <w:sz w:val="24"/>
        </w:rPr>
        <w:t xml:space="preserve">The results indicate that the properties of AOM exhibit distinct temporal heterogeneity, closely correlated with the algal growth cycle. Extracellular organic matter (EOM) </w:t>
      </w:r>
      <w:r w:rsidR="00532B5C">
        <w:rPr>
          <w:color w:val="000000"/>
          <w:sz w:val="24"/>
        </w:rPr>
        <w:t>w</w:t>
      </w:r>
      <w:r w:rsidR="000D26A5">
        <w:rPr>
          <w:color w:val="000000"/>
          <w:sz w:val="24"/>
        </w:rPr>
        <w:t>as</w:t>
      </w:r>
      <w:r w:rsidRPr="006B68E2">
        <w:rPr>
          <w:color w:val="000000"/>
          <w:sz w:val="24"/>
        </w:rPr>
        <w:t xml:space="preserve"> primarily composed of soluble microbial byproducts and humic acid-like substances, with a </w:t>
      </w:r>
      <w:r w:rsidRPr="006B68E2">
        <w:rPr>
          <w:color w:val="000000"/>
          <w:sz w:val="24"/>
        </w:rPr>
        <w:lastRenderedPageBreak/>
        <w:t>maximum release of 1.05 mg-DON per 10</w:t>
      </w:r>
      <w:r w:rsidRPr="006B68E2">
        <w:rPr>
          <w:color w:val="000000"/>
          <w:sz w:val="24"/>
          <w:vertAlign w:val="superscript"/>
        </w:rPr>
        <w:t>10</w:t>
      </w:r>
      <w:r w:rsidRPr="006B68E2">
        <w:rPr>
          <w:color w:val="000000"/>
          <w:sz w:val="24"/>
        </w:rPr>
        <w:t xml:space="preserve"> cells. In contrast, intracellular organic matter</w:t>
      </w:r>
      <w:r w:rsidR="000D26A5">
        <w:rPr>
          <w:color w:val="000000"/>
          <w:sz w:val="24"/>
        </w:rPr>
        <w:t xml:space="preserve"> </w:t>
      </w:r>
      <w:r w:rsidRPr="006B68E2">
        <w:rPr>
          <w:color w:val="000000"/>
          <w:sz w:val="24"/>
        </w:rPr>
        <w:t xml:space="preserve">(IOM) </w:t>
      </w:r>
      <w:r w:rsidR="000D26A5">
        <w:rPr>
          <w:color w:val="000000"/>
          <w:sz w:val="24"/>
        </w:rPr>
        <w:t>was</w:t>
      </w:r>
      <w:r w:rsidRPr="006B68E2">
        <w:rPr>
          <w:color w:val="000000"/>
          <w:sz w:val="24"/>
        </w:rPr>
        <w:t xml:space="preserve"> mainly composed of soluble microbial byproducts and aromatic proteins, with a maximum yield of 1.45 mg-DON per 10</w:t>
      </w:r>
      <w:r w:rsidRPr="006B68E2">
        <w:rPr>
          <w:color w:val="000000"/>
          <w:sz w:val="24"/>
          <w:vertAlign w:val="superscript"/>
        </w:rPr>
        <w:t>10</w:t>
      </w:r>
      <w:r w:rsidRPr="006B68E2">
        <w:rPr>
          <w:color w:val="000000"/>
          <w:sz w:val="24"/>
        </w:rPr>
        <w:t xml:space="preserve"> cells. Proteins and free amino acids collectively accounted for over 70% of IOM. PRAM analysis revealed that AOM was predominantly composed of polar and non-positively charged fractions. However, the proportion of positively charged organics was relatively high during the initial growth phase and declined upon entering the stationary phase.</w:t>
      </w:r>
    </w:p>
    <w:p w14:paraId="1F2CE72C" w14:textId="5B0041CA" w:rsidR="00163D6E" w:rsidRPr="006B68E2" w:rsidRDefault="006B68E2" w:rsidP="00855471">
      <w:pPr>
        <w:adjustRightInd w:val="0"/>
        <w:snapToGrid w:val="0"/>
        <w:spacing w:line="312" w:lineRule="auto"/>
        <w:ind w:firstLineChars="117" w:firstLine="281"/>
        <w:rPr>
          <w:color w:val="000000"/>
          <w:sz w:val="24"/>
        </w:rPr>
      </w:pPr>
      <w:r w:rsidRPr="006B68E2">
        <w:rPr>
          <w:color w:val="000000"/>
          <w:sz w:val="24"/>
        </w:rPr>
        <w:t>DBP</w:t>
      </w:r>
      <w:r>
        <w:rPr>
          <w:color w:val="000000"/>
          <w:sz w:val="24"/>
        </w:rPr>
        <w:t>s</w:t>
      </w:r>
      <w:r w:rsidRPr="006B68E2">
        <w:rPr>
          <w:color w:val="000000"/>
          <w:sz w:val="24"/>
        </w:rPr>
        <w:t xml:space="preserve"> analysis showed that neither EOM nor IOM directly contained detectable levels of </w:t>
      </w:r>
      <w:bookmarkStart w:id="0" w:name="_Hlk221542559"/>
      <w:r w:rsidRPr="006B68E2">
        <w:rPr>
          <w:color w:val="000000"/>
          <w:sz w:val="24"/>
        </w:rPr>
        <w:t>THMs</w:t>
      </w:r>
      <w:bookmarkEnd w:id="0"/>
      <w:r w:rsidRPr="006B68E2">
        <w:rPr>
          <w:color w:val="000000"/>
          <w:sz w:val="24"/>
        </w:rPr>
        <w:t>. However, nitrosamines were detected at levels ranging from 10</w:t>
      </w:r>
      <w:r w:rsidR="008319A0" w:rsidRPr="008319A0">
        <w:rPr>
          <w:rFonts w:eastAsia="MS Gothic"/>
          <w:color w:val="000000"/>
          <w:sz w:val="24"/>
          <w:vertAlign w:val="superscript"/>
        </w:rPr>
        <w:t>-9</w:t>
      </w:r>
      <w:r w:rsidRPr="006B68E2">
        <w:rPr>
          <w:color w:val="000000"/>
          <w:sz w:val="24"/>
        </w:rPr>
        <w:t xml:space="preserve"> ng/cell</w:t>
      </w:r>
      <w:r w:rsidR="000B0474">
        <w:rPr>
          <w:color w:val="000000"/>
          <w:sz w:val="24"/>
        </w:rPr>
        <w:t xml:space="preserve"> to </w:t>
      </w:r>
      <w:r w:rsidR="000B0474" w:rsidRPr="006B68E2">
        <w:rPr>
          <w:color w:val="000000"/>
          <w:sz w:val="24"/>
        </w:rPr>
        <w:t>1.5 × 10</w:t>
      </w:r>
      <w:r w:rsidR="000B0474" w:rsidRPr="006B68E2">
        <w:rPr>
          <w:rFonts w:eastAsia="MS Gothic"/>
          <w:color w:val="000000"/>
          <w:sz w:val="24"/>
        </w:rPr>
        <w:t>⁻</w:t>
      </w:r>
      <w:r w:rsidR="000B0474" w:rsidRPr="008319A0">
        <w:rPr>
          <w:color w:val="000000"/>
          <w:sz w:val="24"/>
          <w:vertAlign w:val="superscript"/>
        </w:rPr>
        <w:t>8</w:t>
      </w:r>
      <w:r w:rsidR="000B0474" w:rsidRPr="006B68E2">
        <w:rPr>
          <w:color w:val="000000"/>
          <w:sz w:val="24"/>
        </w:rPr>
        <w:t xml:space="preserve"> ng/cell</w:t>
      </w:r>
      <w:r w:rsidR="000B0474">
        <w:rPr>
          <w:color w:val="000000"/>
          <w:sz w:val="24"/>
        </w:rPr>
        <w:t xml:space="preserve"> at the peak on Day 20</w:t>
      </w:r>
      <w:r w:rsidRPr="006B68E2">
        <w:rPr>
          <w:color w:val="000000"/>
          <w:sz w:val="24"/>
        </w:rPr>
        <w:t>, suggesting the existence of a biosynthetic pathway for nitrosamines during algal growth and metabolism. AOM contained precursors for both THMs (primarily TCM) and nitrosamines (primarily NDMA). TCMFP from EOM showed an increasing trend, exceeding 5 × 10</w:t>
      </w:r>
      <w:r w:rsidRPr="006B68E2">
        <w:rPr>
          <w:rFonts w:eastAsia="MS Gothic"/>
          <w:color w:val="000000"/>
          <w:sz w:val="24"/>
        </w:rPr>
        <w:t>⁻</w:t>
      </w:r>
      <w:r w:rsidR="008319A0" w:rsidRPr="008319A0">
        <w:rPr>
          <w:color w:val="000000"/>
          <w:sz w:val="24"/>
          <w:vertAlign w:val="superscript"/>
        </w:rPr>
        <w:t>8</w:t>
      </w:r>
      <w:r w:rsidRPr="006B68E2">
        <w:rPr>
          <w:color w:val="000000"/>
          <w:sz w:val="24"/>
        </w:rPr>
        <w:t xml:space="preserve"> μg/cell at 80 days. In contrast, TCMFP from IOM initially decreased and then increased, with an</w:t>
      </w:r>
      <w:bookmarkStart w:id="1" w:name="_GoBack"/>
      <w:bookmarkEnd w:id="1"/>
      <w:r w:rsidRPr="006B68E2">
        <w:rPr>
          <w:color w:val="000000"/>
          <w:sz w:val="24"/>
        </w:rPr>
        <w:t xml:space="preserve"> average cellular yield of 10</w:t>
      </w:r>
      <w:r w:rsidRPr="006B68E2">
        <w:rPr>
          <w:rFonts w:eastAsia="MS Gothic"/>
          <w:color w:val="000000"/>
          <w:sz w:val="24"/>
        </w:rPr>
        <w:t>⁻</w:t>
      </w:r>
      <w:r w:rsidR="008319A0" w:rsidRPr="008319A0">
        <w:rPr>
          <w:color w:val="000000"/>
          <w:sz w:val="24"/>
          <w:vertAlign w:val="superscript"/>
        </w:rPr>
        <w:t>7</w:t>
      </w:r>
      <w:r w:rsidRPr="006B68E2">
        <w:rPr>
          <w:color w:val="000000"/>
          <w:sz w:val="24"/>
        </w:rPr>
        <w:t xml:space="preserve"> μg/cell. NDMAFP</w:t>
      </w:r>
      <w:r w:rsidR="008319A0">
        <w:rPr>
          <w:color w:val="000000"/>
          <w:sz w:val="24"/>
        </w:rPr>
        <w:t xml:space="preserve"> </w:t>
      </w:r>
      <w:r w:rsidRPr="006B68E2">
        <w:rPr>
          <w:color w:val="000000"/>
          <w:sz w:val="24"/>
        </w:rPr>
        <w:t>for both EOM and IOM were as high as 10</w:t>
      </w:r>
      <w:r w:rsidRPr="006B68E2">
        <w:rPr>
          <w:rFonts w:eastAsia="MS Gothic"/>
          <w:color w:val="000000"/>
          <w:sz w:val="24"/>
        </w:rPr>
        <w:t>⁻</w:t>
      </w:r>
      <w:r w:rsidR="008319A0">
        <w:rPr>
          <w:color w:val="000000"/>
          <w:sz w:val="24"/>
          <w:vertAlign w:val="superscript"/>
        </w:rPr>
        <w:t>6</w:t>
      </w:r>
      <w:r w:rsidRPr="006B68E2">
        <w:rPr>
          <w:color w:val="000000"/>
          <w:sz w:val="24"/>
        </w:rPr>
        <w:t xml:space="preserve"> ng/cell during the early growth phase and subsequently declined to approximately 2 × 10</w:t>
      </w:r>
      <w:r w:rsidRPr="006B68E2">
        <w:rPr>
          <w:rFonts w:eastAsia="MS Gothic"/>
          <w:color w:val="000000"/>
          <w:sz w:val="24"/>
        </w:rPr>
        <w:t>⁻</w:t>
      </w:r>
      <w:r w:rsidR="008319A0" w:rsidRPr="008319A0">
        <w:rPr>
          <w:color w:val="000000"/>
          <w:sz w:val="24"/>
          <w:vertAlign w:val="superscript"/>
        </w:rPr>
        <w:t>7</w:t>
      </w:r>
      <w:r w:rsidRPr="006B68E2">
        <w:rPr>
          <w:color w:val="000000"/>
          <w:sz w:val="24"/>
        </w:rPr>
        <w:t xml:space="preserve"> ng/cell as the culture aged.</w:t>
      </w:r>
    </w:p>
    <w:p w14:paraId="1A8AC1A3" w14:textId="1318147C" w:rsidR="008319A0" w:rsidRPr="008319A0" w:rsidRDefault="00163D6E" w:rsidP="008319A0">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Conclusions</w:t>
      </w:r>
    </w:p>
    <w:p w14:paraId="446C45BB" w14:textId="2663CF61" w:rsidR="00163D6E" w:rsidRPr="008319A0" w:rsidRDefault="008319A0" w:rsidP="00855471">
      <w:pPr>
        <w:adjustRightInd w:val="0"/>
        <w:snapToGrid w:val="0"/>
        <w:spacing w:line="312" w:lineRule="auto"/>
        <w:ind w:firstLineChars="117" w:firstLine="281"/>
        <w:rPr>
          <w:rFonts w:eastAsia="黑体"/>
          <w:color w:val="000000"/>
          <w:sz w:val="24"/>
        </w:rPr>
      </w:pPr>
      <w:r w:rsidRPr="008319A0">
        <w:rPr>
          <w:rFonts w:eastAsia="黑体"/>
          <w:color w:val="000000"/>
          <w:sz w:val="24"/>
        </w:rPr>
        <w:t xml:space="preserve">This research reveals that nascent AOM is predominantly composed of positively charged organic substances and exhibits a higher </w:t>
      </w:r>
      <w:r w:rsidR="00855471" w:rsidRPr="008319A0">
        <w:rPr>
          <w:rFonts w:eastAsia="黑体"/>
          <w:color w:val="000000"/>
          <w:sz w:val="24"/>
        </w:rPr>
        <w:t xml:space="preserve">formation </w:t>
      </w:r>
      <w:r w:rsidRPr="008319A0">
        <w:rPr>
          <w:rFonts w:eastAsia="黑体"/>
          <w:color w:val="000000"/>
          <w:sz w:val="24"/>
        </w:rPr>
        <w:t xml:space="preserve">potential for nitrosamine. Conversely, the risk of </w:t>
      </w:r>
      <w:r>
        <w:rPr>
          <w:rFonts w:eastAsia="黑体"/>
          <w:color w:val="000000"/>
          <w:sz w:val="24"/>
        </w:rPr>
        <w:t xml:space="preserve">THMs </w:t>
      </w:r>
      <w:r w:rsidRPr="008319A0">
        <w:rPr>
          <w:rFonts w:eastAsia="黑体"/>
          <w:color w:val="000000"/>
          <w:sz w:val="24"/>
        </w:rPr>
        <w:t>generation significantly increases during the senescence phase. These findings indicate that the DBP</w:t>
      </w:r>
      <w:r w:rsidR="00874596">
        <w:rPr>
          <w:rFonts w:eastAsia="黑体"/>
          <w:color w:val="000000"/>
          <w:sz w:val="24"/>
        </w:rPr>
        <w:t>s</w:t>
      </w:r>
      <w:r w:rsidRPr="008319A0">
        <w:rPr>
          <w:rFonts w:eastAsia="黑体"/>
          <w:color w:val="000000"/>
          <w:sz w:val="24"/>
        </w:rPr>
        <w:t xml:space="preserve"> formation risk during an algal bloom cannot be accurately estimated based solely on algal density or general organic matter concentration. It is essential to also account for the algal growth cycle and the migration and transformation patterns of AOM.</w:t>
      </w:r>
      <w:r w:rsidR="00855471">
        <w:rPr>
          <w:rFonts w:eastAsia="黑体" w:hint="eastAsia"/>
          <w:color w:val="000000"/>
          <w:sz w:val="24"/>
        </w:rPr>
        <w:t xml:space="preserve"> </w:t>
      </w:r>
      <w:r w:rsidRPr="008319A0">
        <w:rPr>
          <w:rFonts w:eastAsia="黑体"/>
          <w:color w:val="000000"/>
          <w:sz w:val="24"/>
        </w:rPr>
        <w:t xml:space="preserve">Consequently, tailored improvements to drinking water treatment processes should be proposed for different bloom stages, based on the temporal variation characteristics of AOM in the source water. </w:t>
      </w:r>
      <w:r w:rsidR="00CA55F9" w:rsidRPr="00CA55F9">
        <w:rPr>
          <w:rFonts w:eastAsia="黑体"/>
          <w:color w:val="000000"/>
          <w:sz w:val="24"/>
        </w:rPr>
        <w:t xml:space="preserve">Looking </w:t>
      </w:r>
      <w:r w:rsidR="00CA55F9">
        <w:rPr>
          <w:rFonts w:eastAsia="黑体"/>
          <w:color w:val="000000"/>
          <w:sz w:val="24"/>
        </w:rPr>
        <w:t>ahead</w:t>
      </w:r>
      <w:r w:rsidR="00CA55F9" w:rsidRPr="00CA55F9">
        <w:rPr>
          <w:rFonts w:eastAsia="黑体"/>
          <w:color w:val="000000"/>
          <w:sz w:val="24"/>
        </w:rPr>
        <w:t>, there is a clear need to integrate algal population forecasting with models of AOM generation and transformation.</w:t>
      </w:r>
      <w:r w:rsidR="00CA55F9">
        <w:rPr>
          <w:rFonts w:eastAsia="黑体"/>
          <w:color w:val="000000"/>
          <w:sz w:val="24"/>
        </w:rPr>
        <w:t>, which</w:t>
      </w:r>
      <w:r w:rsidR="00CA55F9" w:rsidRPr="00CA55F9">
        <w:rPr>
          <w:rFonts w:eastAsia="黑体"/>
          <w:color w:val="000000"/>
          <w:sz w:val="24"/>
        </w:rPr>
        <w:t xml:space="preserve"> is crucial for quantifying the impact of algal blooms under the influence of climate change.</w:t>
      </w:r>
    </w:p>
    <w:p w14:paraId="08BBEF81" w14:textId="77777777" w:rsidR="00163D6E" w:rsidRDefault="00163D6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Lines="50" w:before="156" w:afterLines="50" w:after="156"/>
        <w:ind w:right="851"/>
        <w:outlineLvl w:val="0"/>
        <w:rPr>
          <w:rFonts w:ascii="Arial" w:hAnsi="Arial" w:cs="Arial"/>
          <w:b/>
          <w:bCs/>
          <w:sz w:val="24"/>
        </w:rPr>
      </w:pPr>
      <w:r>
        <w:rPr>
          <w:rFonts w:ascii="Arial" w:hAnsi="Arial" w:cs="Arial"/>
          <w:b/>
          <w:bCs/>
          <w:sz w:val="24"/>
        </w:rPr>
        <w:t>References</w:t>
      </w:r>
    </w:p>
    <w:p w14:paraId="004E9407" w14:textId="675F3164" w:rsidR="00FD5874" w:rsidRDefault="00FD5874" w:rsidP="00FD5874">
      <w:pPr>
        <w:adjustRightInd w:val="0"/>
        <w:snapToGrid w:val="0"/>
        <w:ind w:left="400" w:hangingChars="200" w:hanging="400"/>
        <w:rPr>
          <w:sz w:val="20"/>
          <w:szCs w:val="20"/>
        </w:rPr>
      </w:pPr>
      <w:r w:rsidRPr="00FD5874">
        <w:rPr>
          <w:sz w:val="20"/>
          <w:szCs w:val="20"/>
        </w:rPr>
        <w:t>Bei E, Wu X, Qiu Y, et al. A Tale of Two Water Supplies in China: Finding Practical Solutions to Urban and Rural Water Supply Problems [J]. Accounts of Chemical Research, 2019, 52(4): 867-875.</w:t>
      </w:r>
    </w:p>
    <w:p w14:paraId="1A3CA7FD" w14:textId="77777777" w:rsidR="00FD5874" w:rsidRPr="00FD5874" w:rsidRDefault="00FD5874" w:rsidP="00FD5874">
      <w:pPr>
        <w:adjustRightInd w:val="0"/>
        <w:snapToGrid w:val="0"/>
        <w:ind w:left="400" w:hangingChars="200" w:hanging="400"/>
        <w:rPr>
          <w:sz w:val="20"/>
          <w:szCs w:val="20"/>
        </w:rPr>
      </w:pPr>
      <w:r w:rsidRPr="00FD5874">
        <w:rPr>
          <w:sz w:val="20"/>
          <w:szCs w:val="20"/>
        </w:rPr>
        <w:t>Zhou S, Zhu S, Shao Y, et al. Characteristics of C-, N-DBPs formation from algal organic matter: Role of molecular weight fractions and impacts of pre-ozonation [J]. Water Research, 2015, 72: 381-390.</w:t>
      </w:r>
    </w:p>
    <w:p w14:paraId="49F6C050" w14:textId="1BE27DA4" w:rsidR="00FD5874" w:rsidRDefault="00FD5874" w:rsidP="00FD5874">
      <w:pPr>
        <w:adjustRightInd w:val="0"/>
        <w:snapToGrid w:val="0"/>
        <w:ind w:left="400" w:hangingChars="200" w:hanging="400"/>
        <w:rPr>
          <w:sz w:val="20"/>
          <w:szCs w:val="20"/>
        </w:rPr>
      </w:pPr>
      <w:r w:rsidRPr="00FD5874">
        <w:rPr>
          <w:sz w:val="20"/>
          <w:szCs w:val="20"/>
        </w:rPr>
        <w:t>Hua L-C, Lin J-L, Chen P-C, et al. Chemical structures of extra- and intra-cellular algogenic organic matters as precursors to the formation of carbonaceous disinfection byproducts [J]. Chemical Engineering Journal, 2017, 328: 1022-1030.</w:t>
      </w:r>
    </w:p>
    <w:p w14:paraId="50725CB9" w14:textId="77777777" w:rsidR="00FD5874" w:rsidRPr="00FD5874" w:rsidRDefault="00FD5874" w:rsidP="00FD5874">
      <w:pPr>
        <w:adjustRightInd w:val="0"/>
        <w:snapToGrid w:val="0"/>
        <w:ind w:left="400" w:hangingChars="200" w:hanging="400"/>
        <w:rPr>
          <w:sz w:val="20"/>
          <w:szCs w:val="20"/>
        </w:rPr>
      </w:pPr>
      <w:r w:rsidRPr="00FD5874">
        <w:rPr>
          <w:sz w:val="20"/>
          <w:szCs w:val="20"/>
        </w:rPr>
        <w:t>Bei E, Li X, Wu F, et al. Formation of N-nitrosodimethylamine precursors through the microbiological metabolism of nitrogenous substrates in water [J]. Water Research, 2020, 183: 116055.</w:t>
      </w:r>
    </w:p>
    <w:p w14:paraId="5AFABC31" w14:textId="5D40009A" w:rsidR="00FD5874" w:rsidRPr="00FD5874" w:rsidRDefault="00FD5874" w:rsidP="00FD5874">
      <w:pPr>
        <w:adjustRightInd w:val="0"/>
        <w:snapToGrid w:val="0"/>
        <w:ind w:left="400" w:hangingChars="200" w:hanging="400"/>
        <w:rPr>
          <w:sz w:val="20"/>
          <w:szCs w:val="20"/>
        </w:rPr>
      </w:pPr>
      <w:r w:rsidRPr="00FD5874">
        <w:rPr>
          <w:sz w:val="20"/>
          <w:szCs w:val="20"/>
        </w:rPr>
        <w:t>Bei E, Ye Z, Chen X, et al. Study on characteristic and mechanism involved in the formation of N-nitrosodimethylamine precursors during microbial metabolism of amino acids [J]. Science of The Total Environment, 2023, 874: 162469.</w:t>
      </w:r>
    </w:p>
    <w:sectPr w:rsidR="00FD5874" w:rsidRPr="00FD5874">
      <w:headerReference w:type="default" r:id="rId7"/>
      <w:footerReference w:type="default" r:id="rId8"/>
      <w:pgSz w:w="11906" w:h="16838"/>
      <w:pgMar w:top="1418"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82F90B" w14:textId="77777777" w:rsidR="006C368D" w:rsidRDefault="006C368D">
      <w:r>
        <w:separator/>
      </w:r>
    </w:p>
  </w:endnote>
  <w:endnote w:type="continuationSeparator" w:id="0">
    <w:p w14:paraId="107B70D8" w14:textId="77777777" w:rsidR="006C368D" w:rsidRDefault="006C36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935F8E" w14:textId="77777777" w:rsidR="00163D6E" w:rsidRDefault="006C368D">
    <w:pPr>
      <w:pStyle w:val="a5"/>
      <w:jc w:val="center"/>
      <w:rPr>
        <w:sz w:val="20"/>
        <w:szCs w:val="20"/>
      </w:rPr>
    </w:pPr>
    <w:r>
      <w:rPr>
        <w:sz w:val="20"/>
      </w:rPr>
      <w:pict w14:anchorId="20C0AAFA">
        <v:shapetype id="_x0000_t202" coordsize="21600,21600" o:spt="202" path="m,l,21600r21600,l21600,xe">
          <v:stroke joinstyle="miter"/>
          <v:path gradientshapeok="t" o:connecttype="rect"/>
        </v:shapetype>
        <v:shape id="文本框 1" o:spid="_x0000_s2049" type="#_x0000_t202" style="position:absolute;left:0;text-align:left;margin-left:0;margin-top:0;width:2in;height:2in;z-index:1;mso-wrap-style:none;mso-position-horizontal:center;mso-position-horizontal-relative:margin" filled="f" stroked="f" strokeweight="1.25pt">
          <v:fill o:detectmouseclick="t"/>
          <v:textbox style="mso-fit-shape-to-text:t" inset="0,0,0,0">
            <w:txbxContent>
              <w:p w14:paraId="1A6BFB0F" w14:textId="73A0930E" w:rsidR="00163D6E" w:rsidRDefault="00163D6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0B0474">
                  <w:rPr>
                    <w:noProof/>
                    <w:sz w:val="18"/>
                  </w:rPr>
                  <w:t>1</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8CFB46" w14:textId="77777777" w:rsidR="006C368D" w:rsidRDefault="006C368D">
      <w:r>
        <w:separator/>
      </w:r>
    </w:p>
  </w:footnote>
  <w:footnote w:type="continuationSeparator" w:id="0">
    <w:p w14:paraId="04F618E7" w14:textId="77777777" w:rsidR="006C368D" w:rsidRDefault="006C368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B54846" w14:textId="77777777" w:rsidR="00163D6E" w:rsidRDefault="00163D6E">
    <w:pPr>
      <w:pStyle w:val="a6"/>
      <w:rPr>
        <w:color w:val="444444"/>
      </w:rPr>
    </w:pPr>
    <w:r>
      <w:rPr>
        <w:color w:val="444444"/>
      </w:rPr>
      <w:t>5th International Conference on Disinfection and DBPs: Advancements in Disinfection Systems Towards Safe Drinking Water and Water Reuse</w:t>
    </w:r>
  </w:p>
  <w:p w14:paraId="5BA2530F" w14:textId="77777777" w:rsidR="00163D6E" w:rsidRDefault="00163D6E">
    <w:pPr>
      <w:pStyle w:val="a6"/>
    </w:pPr>
    <w:r>
      <w:rPr>
        <w:rFonts w:hint="eastAsia"/>
        <w:color w:val="444444"/>
      </w:rPr>
      <w:t>Shanghai</w:t>
    </w:r>
    <w:r>
      <w:rPr>
        <w:color w:val="444444"/>
      </w:rPr>
      <w:t>, China,</w:t>
    </w:r>
    <w:r>
      <w:rPr>
        <w:rFonts w:hint="eastAsia"/>
        <w:color w:val="444444"/>
      </w:rPr>
      <w:t xml:space="preserve"> July 7th to 11th, 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975E0"/>
    <w:multiLevelType w:val="hybridMultilevel"/>
    <w:tmpl w:val="DFC2D492"/>
    <w:lvl w:ilvl="0" w:tplc="4844B07C">
      <w:start w:val="1"/>
      <w:numFmt w:val="bullet"/>
      <w:lvlText w:val=""/>
      <w:lvlJc w:val="left"/>
      <w:pPr>
        <w:ind w:left="631" w:hanging="420"/>
      </w:pPr>
      <w:rPr>
        <w:rFonts w:ascii="Wingdings" w:hAnsi="Wingdings" w:hint="default"/>
      </w:rPr>
    </w:lvl>
    <w:lvl w:ilvl="1" w:tplc="04090003" w:tentative="1">
      <w:start w:val="1"/>
      <w:numFmt w:val="bullet"/>
      <w:lvlText w:val=""/>
      <w:lvlJc w:val="left"/>
      <w:pPr>
        <w:ind w:left="1051" w:hanging="420"/>
      </w:pPr>
      <w:rPr>
        <w:rFonts w:ascii="Wingdings" w:hAnsi="Wingdings" w:hint="default"/>
      </w:rPr>
    </w:lvl>
    <w:lvl w:ilvl="2" w:tplc="04090005" w:tentative="1">
      <w:start w:val="1"/>
      <w:numFmt w:val="bullet"/>
      <w:lvlText w:val=""/>
      <w:lvlJc w:val="left"/>
      <w:pPr>
        <w:ind w:left="1471" w:hanging="420"/>
      </w:pPr>
      <w:rPr>
        <w:rFonts w:ascii="Wingdings" w:hAnsi="Wingdings" w:hint="default"/>
      </w:rPr>
    </w:lvl>
    <w:lvl w:ilvl="3" w:tplc="04090001" w:tentative="1">
      <w:start w:val="1"/>
      <w:numFmt w:val="bullet"/>
      <w:lvlText w:val=""/>
      <w:lvlJc w:val="left"/>
      <w:pPr>
        <w:ind w:left="1891" w:hanging="420"/>
      </w:pPr>
      <w:rPr>
        <w:rFonts w:ascii="Wingdings" w:hAnsi="Wingdings" w:hint="default"/>
      </w:rPr>
    </w:lvl>
    <w:lvl w:ilvl="4" w:tplc="04090003" w:tentative="1">
      <w:start w:val="1"/>
      <w:numFmt w:val="bullet"/>
      <w:lvlText w:val=""/>
      <w:lvlJc w:val="left"/>
      <w:pPr>
        <w:ind w:left="2311" w:hanging="420"/>
      </w:pPr>
      <w:rPr>
        <w:rFonts w:ascii="Wingdings" w:hAnsi="Wingdings" w:hint="default"/>
      </w:rPr>
    </w:lvl>
    <w:lvl w:ilvl="5" w:tplc="04090005" w:tentative="1">
      <w:start w:val="1"/>
      <w:numFmt w:val="bullet"/>
      <w:lvlText w:val=""/>
      <w:lvlJc w:val="left"/>
      <w:pPr>
        <w:ind w:left="2731" w:hanging="420"/>
      </w:pPr>
      <w:rPr>
        <w:rFonts w:ascii="Wingdings" w:hAnsi="Wingdings" w:hint="default"/>
      </w:rPr>
    </w:lvl>
    <w:lvl w:ilvl="6" w:tplc="04090001" w:tentative="1">
      <w:start w:val="1"/>
      <w:numFmt w:val="bullet"/>
      <w:lvlText w:val=""/>
      <w:lvlJc w:val="left"/>
      <w:pPr>
        <w:ind w:left="3151" w:hanging="420"/>
      </w:pPr>
      <w:rPr>
        <w:rFonts w:ascii="Wingdings" w:hAnsi="Wingdings" w:hint="default"/>
      </w:rPr>
    </w:lvl>
    <w:lvl w:ilvl="7" w:tplc="04090003" w:tentative="1">
      <w:start w:val="1"/>
      <w:numFmt w:val="bullet"/>
      <w:lvlText w:val=""/>
      <w:lvlJc w:val="left"/>
      <w:pPr>
        <w:ind w:left="3571" w:hanging="420"/>
      </w:pPr>
      <w:rPr>
        <w:rFonts w:ascii="Wingdings" w:hAnsi="Wingdings" w:hint="default"/>
      </w:rPr>
    </w:lvl>
    <w:lvl w:ilvl="8" w:tplc="04090005" w:tentative="1">
      <w:start w:val="1"/>
      <w:numFmt w:val="bullet"/>
      <w:lvlText w:val=""/>
      <w:lvlJc w:val="left"/>
      <w:pPr>
        <w:ind w:left="3991" w:hanging="420"/>
      </w:pPr>
      <w:rPr>
        <w:rFonts w:ascii="Wingdings" w:hAnsi="Wingdings" w:hint="default"/>
      </w:rPr>
    </w:lvl>
  </w:abstractNum>
  <w:abstractNum w:abstractNumId="1" w15:restartNumberingAfterBreak="0">
    <w:nsid w:val="44A70B75"/>
    <w:multiLevelType w:val="multilevel"/>
    <w:tmpl w:val="7CC4E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50FC"/>
    <w:rsid w:val="00015AA9"/>
    <w:rsid w:val="00050E16"/>
    <w:rsid w:val="00080757"/>
    <w:rsid w:val="000A105F"/>
    <w:rsid w:val="000B0474"/>
    <w:rsid w:val="000C0A4F"/>
    <w:rsid w:val="000D26A5"/>
    <w:rsid w:val="000D360C"/>
    <w:rsid w:val="000E46B5"/>
    <w:rsid w:val="0011364C"/>
    <w:rsid w:val="00117D46"/>
    <w:rsid w:val="00143C40"/>
    <w:rsid w:val="00150D8E"/>
    <w:rsid w:val="00161AE0"/>
    <w:rsid w:val="00163D6E"/>
    <w:rsid w:val="001653EA"/>
    <w:rsid w:val="00165757"/>
    <w:rsid w:val="00181740"/>
    <w:rsid w:val="00183BA6"/>
    <w:rsid w:val="001B5CAA"/>
    <w:rsid w:val="001B662A"/>
    <w:rsid w:val="001C0322"/>
    <w:rsid w:val="001C3237"/>
    <w:rsid w:val="001E2E79"/>
    <w:rsid w:val="00206867"/>
    <w:rsid w:val="00212C4A"/>
    <w:rsid w:val="00216812"/>
    <w:rsid w:val="00246FCA"/>
    <w:rsid w:val="00292733"/>
    <w:rsid w:val="002B6D66"/>
    <w:rsid w:val="002C0245"/>
    <w:rsid w:val="00306884"/>
    <w:rsid w:val="00314F38"/>
    <w:rsid w:val="0034417C"/>
    <w:rsid w:val="00345750"/>
    <w:rsid w:val="00393CDF"/>
    <w:rsid w:val="003A3C1B"/>
    <w:rsid w:val="003B6E46"/>
    <w:rsid w:val="003D6B60"/>
    <w:rsid w:val="003F4D90"/>
    <w:rsid w:val="00403B08"/>
    <w:rsid w:val="0041412E"/>
    <w:rsid w:val="004201D9"/>
    <w:rsid w:val="00443766"/>
    <w:rsid w:val="004563A9"/>
    <w:rsid w:val="00462302"/>
    <w:rsid w:val="004746D6"/>
    <w:rsid w:val="00480F98"/>
    <w:rsid w:val="004A2374"/>
    <w:rsid w:val="004A41C5"/>
    <w:rsid w:val="004C774E"/>
    <w:rsid w:val="004D48A7"/>
    <w:rsid w:val="004E49CC"/>
    <w:rsid w:val="004F04A3"/>
    <w:rsid w:val="004F0B66"/>
    <w:rsid w:val="004F5761"/>
    <w:rsid w:val="0050370F"/>
    <w:rsid w:val="00522E8E"/>
    <w:rsid w:val="00526C77"/>
    <w:rsid w:val="00532B5C"/>
    <w:rsid w:val="00532E1E"/>
    <w:rsid w:val="00542372"/>
    <w:rsid w:val="005473C6"/>
    <w:rsid w:val="00565735"/>
    <w:rsid w:val="00566637"/>
    <w:rsid w:val="005735A6"/>
    <w:rsid w:val="005B1C44"/>
    <w:rsid w:val="005B1D6F"/>
    <w:rsid w:val="005B281D"/>
    <w:rsid w:val="005B4F94"/>
    <w:rsid w:val="005C1B6D"/>
    <w:rsid w:val="00635DE3"/>
    <w:rsid w:val="00635E34"/>
    <w:rsid w:val="006479A7"/>
    <w:rsid w:val="006523A2"/>
    <w:rsid w:val="00662C8D"/>
    <w:rsid w:val="006650FC"/>
    <w:rsid w:val="006B68E2"/>
    <w:rsid w:val="006C368D"/>
    <w:rsid w:val="006D6FEB"/>
    <w:rsid w:val="006E6628"/>
    <w:rsid w:val="006E7FF9"/>
    <w:rsid w:val="00710195"/>
    <w:rsid w:val="00730A6C"/>
    <w:rsid w:val="00735D95"/>
    <w:rsid w:val="00740473"/>
    <w:rsid w:val="00756CA5"/>
    <w:rsid w:val="00775E3C"/>
    <w:rsid w:val="007904B7"/>
    <w:rsid w:val="007A04DD"/>
    <w:rsid w:val="007A4E44"/>
    <w:rsid w:val="007B6E78"/>
    <w:rsid w:val="007E51DD"/>
    <w:rsid w:val="00811153"/>
    <w:rsid w:val="008319A0"/>
    <w:rsid w:val="00855471"/>
    <w:rsid w:val="008740E1"/>
    <w:rsid w:val="00874596"/>
    <w:rsid w:val="008859BC"/>
    <w:rsid w:val="0088769D"/>
    <w:rsid w:val="008B7260"/>
    <w:rsid w:val="008C2B0A"/>
    <w:rsid w:val="009020D4"/>
    <w:rsid w:val="009162C1"/>
    <w:rsid w:val="00922196"/>
    <w:rsid w:val="009245F3"/>
    <w:rsid w:val="00925DAD"/>
    <w:rsid w:val="009400C3"/>
    <w:rsid w:val="0094231D"/>
    <w:rsid w:val="00955046"/>
    <w:rsid w:val="00966FAE"/>
    <w:rsid w:val="00972B45"/>
    <w:rsid w:val="00980CEA"/>
    <w:rsid w:val="009B516D"/>
    <w:rsid w:val="009E2212"/>
    <w:rsid w:val="009F5218"/>
    <w:rsid w:val="00A00287"/>
    <w:rsid w:val="00A00A41"/>
    <w:rsid w:val="00A0376E"/>
    <w:rsid w:val="00A136F6"/>
    <w:rsid w:val="00A15678"/>
    <w:rsid w:val="00A479F0"/>
    <w:rsid w:val="00A701CA"/>
    <w:rsid w:val="00AA39C9"/>
    <w:rsid w:val="00AA41A2"/>
    <w:rsid w:val="00AC7CB1"/>
    <w:rsid w:val="00AD0547"/>
    <w:rsid w:val="00AD113A"/>
    <w:rsid w:val="00AD26C4"/>
    <w:rsid w:val="00AD3DDC"/>
    <w:rsid w:val="00AE4420"/>
    <w:rsid w:val="00AE7FE2"/>
    <w:rsid w:val="00AF378A"/>
    <w:rsid w:val="00B130A2"/>
    <w:rsid w:val="00B256CE"/>
    <w:rsid w:val="00B279D3"/>
    <w:rsid w:val="00B4013F"/>
    <w:rsid w:val="00B42C72"/>
    <w:rsid w:val="00B57AEB"/>
    <w:rsid w:val="00B71E24"/>
    <w:rsid w:val="00B753D1"/>
    <w:rsid w:val="00B773AA"/>
    <w:rsid w:val="00B92744"/>
    <w:rsid w:val="00BA6EE8"/>
    <w:rsid w:val="00BB02D0"/>
    <w:rsid w:val="00BB2398"/>
    <w:rsid w:val="00BC6C3F"/>
    <w:rsid w:val="00BF28B1"/>
    <w:rsid w:val="00C3103A"/>
    <w:rsid w:val="00C32AD0"/>
    <w:rsid w:val="00C44531"/>
    <w:rsid w:val="00C75D6E"/>
    <w:rsid w:val="00C764A1"/>
    <w:rsid w:val="00CA55F9"/>
    <w:rsid w:val="00CB2F7F"/>
    <w:rsid w:val="00CB4197"/>
    <w:rsid w:val="00CC46A3"/>
    <w:rsid w:val="00D13C13"/>
    <w:rsid w:val="00D15496"/>
    <w:rsid w:val="00D67891"/>
    <w:rsid w:val="00D92D01"/>
    <w:rsid w:val="00DB3F18"/>
    <w:rsid w:val="00DB67EF"/>
    <w:rsid w:val="00DC33E3"/>
    <w:rsid w:val="00DD7880"/>
    <w:rsid w:val="00DE0F42"/>
    <w:rsid w:val="00DF0D5C"/>
    <w:rsid w:val="00DF504C"/>
    <w:rsid w:val="00E015B7"/>
    <w:rsid w:val="00E06734"/>
    <w:rsid w:val="00E20DD1"/>
    <w:rsid w:val="00E24BB1"/>
    <w:rsid w:val="00E35FC2"/>
    <w:rsid w:val="00E532EF"/>
    <w:rsid w:val="00E55F95"/>
    <w:rsid w:val="00E60640"/>
    <w:rsid w:val="00E653CC"/>
    <w:rsid w:val="00E70205"/>
    <w:rsid w:val="00E83955"/>
    <w:rsid w:val="00EA4AF9"/>
    <w:rsid w:val="00EB37F7"/>
    <w:rsid w:val="00ED20A6"/>
    <w:rsid w:val="00EE3BE2"/>
    <w:rsid w:val="00EE76AB"/>
    <w:rsid w:val="00F0487B"/>
    <w:rsid w:val="00F04986"/>
    <w:rsid w:val="00F067D0"/>
    <w:rsid w:val="00F508BE"/>
    <w:rsid w:val="00F56864"/>
    <w:rsid w:val="00F705A7"/>
    <w:rsid w:val="00F71B97"/>
    <w:rsid w:val="00FA542D"/>
    <w:rsid w:val="00FB7F29"/>
    <w:rsid w:val="00FC56B8"/>
    <w:rsid w:val="00FD1AB9"/>
    <w:rsid w:val="00FD32CE"/>
    <w:rsid w:val="00FD5874"/>
    <w:rsid w:val="00FF2739"/>
    <w:rsid w:val="00FF3DFB"/>
    <w:rsid w:val="04A80D30"/>
    <w:rsid w:val="0CE6655D"/>
    <w:rsid w:val="11BC23DE"/>
    <w:rsid w:val="156A5AB1"/>
    <w:rsid w:val="25533ABB"/>
    <w:rsid w:val="45193A0F"/>
    <w:rsid w:val="59D02953"/>
    <w:rsid w:val="5C93552F"/>
    <w:rsid w:val="5E514D99"/>
    <w:rsid w:val="61D34332"/>
    <w:rsid w:val="64BD75EC"/>
    <w:rsid w:val="66D21888"/>
    <w:rsid w:val="70BA03DF"/>
    <w:rsid w:val="75530582"/>
    <w:rsid w:val="7BB92D69"/>
    <w:rsid w:val="7F176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1"/>
    </o:shapelayout>
  </w:shapeDefaults>
  <w:decimalSymbol w:val="."/>
  <w:listSeparator w:val=","/>
  <w14:docId w14:val="07C88871"/>
  <w15:chartTrackingRefBased/>
  <w15:docId w15:val="{7E6EABC2-9D68-4954-8EEB-32088CDFA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b/>
      <w:bCs/>
      <w:kern w:val="44"/>
      <w:sz w:val="44"/>
      <w:szCs w:val="44"/>
    </w:rPr>
  </w:style>
  <w:style w:type="paragraph" w:styleId="a3">
    <w:name w:val="Document Map"/>
    <w:basedOn w:val="a"/>
    <w:link w:val="a4"/>
    <w:rPr>
      <w:rFonts w:ascii="宋体"/>
      <w:sz w:val="18"/>
      <w:szCs w:val="18"/>
    </w:rPr>
  </w:style>
  <w:style w:type="character" w:customStyle="1" w:styleId="a4">
    <w:name w:val="文档结构图 字符"/>
    <w:link w:val="a3"/>
    <w:rPr>
      <w:rFonts w:ascii="宋体"/>
      <w:kern w:val="2"/>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Normal (Web)"/>
    <w:basedOn w:val="a"/>
    <w:rPr>
      <w:sz w:val="24"/>
    </w:rPr>
  </w:style>
  <w:style w:type="character" w:styleId="a8">
    <w:name w:val="page number"/>
  </w:style>
  <w:style w:type="paragraph" w:customStyle="1" w:styleId="IWAHeading">
    <w:name w:val="(IWA) Heading"/>
    <w:basedOn w:val="1"/>
    <w:next w:val="IWAFirstparagraph"/>
    <w:pPr>
      <w:keepLines w:val="0"/>
      <w:widowControl/>
      <w:suppressLineNumbers/>
      <w:tabs>
        <w:tab w:val="left" w:pos="414"/>
      </w:tabs>
      <w:overflowPunct w:val="0"/>
      <w:autoSpaceDE w:val="0"/>
      <w:autoSpaceDN w:val="0"/>
      <w:adjustRightInd w:val="0"/>
      <w:spacing w:before="320" w:after="120" w:line="320" w:lineRule="atLeast"/>
      <w:ind w:left="420" w:hanging="420"/>
      <w:jc w:val="left"/>
      <w:textAlignment w:val="baseline"/>
    </w:pPr>
    <w:rPr>
      <w:rFonts w:ascii="Arial" w:hAnsi="Arial" w:cs="Arial"/>
      <w:kern w:val="28"/>
      <w:sz w:val="24"/>
      <w:szCs w:val="24"/>
      <w:lang w:val="en-GB" w:eastAsia="en-US"/>
    </w:rPr>
  </w:style>
  <w:style w:type="paragraph" w:customStyle="1" w:styleId="IWAFirstparagraph">
    <w:name w:val="(IWA) First paragraph"/>
    <w:basedOn w:val="a"/>
    <w:next w:val="IWANormalParagraph"/>
    <w:pPr>
      <w:widowControl/>
      <w:suppressLineNumbers/>
      <w:overflowPunct w:val="0"/>
      <w:autoSpaceDE w:val="0"/>
      <w:autoSpaceDN w:val="0"/>
      <w:adjustRightInd w:val="0"/>
      <w:spacing w:after="120" w:line="240" w:lineRule="atLeast"/>
      <w:textAlignment w:val="baseline"/>
    </w:pPr>
    <w:rPr>
      <w:rFonts w:ascii="Arial" w:hAnsi="Arial" w:cs="Arial"/>
      <w:kern w:val="0"/>
      <w:sz w:val="22"/>
      <w:szCs w:val="22"/>
      <w:lang w:val="en-GB" w:eastAsia="en-US"/>
    </w:rPr>
  </w:style>
  <w:style w:type="paragraph" w:customStyle="1" w:styleId="IWANormalParagraph">
    <w:name w:val="(IWA) Normal Paragraph"/>
    <w:basedOn w:val="a"/>
    <w:pPr>
      <w:widowControl/>
      <w:spacing w:after="120"/>
      <w:ind w:firstLine="210"/>
    </w:pPr>
    <w:rPr>
      <w:rFonts w:ascii="Arial" w:hAnsi="Arial" w:cs="Arial"/>
      <w:kern w:val="0"/>
      <w:sz w:val="22"/>
      <w:szCs w:val="22"/>
      <w:lang w:val="en-GB" w:eastAsia="en-US"/>
    </w:rPr>
  </w:style>
  <w:style w:type="paragraph" w:customStyle="1" w:styleId="Authornames">
    <w:name w:val="Author name(s)"/>
    <w:basedOn w:val="a"/>
    <w:next w:val="a"/>
    <w:pPr>
      <w:widowControl/>
      <w:suppressLineNumbers/>
      <w:suppressAutoHyphens/>
      <w:overflowPunct w:val="0"/>
      <w:autoSpaceDE w:val="0"/>
      <w:autoSpaceDN w:val="0"/>
      <w:adjustRightInd w:val="0"/>
      <w:spacing w:before="240" w:after="120" w:line="240" w:lineRule="exact"/>
      <w:jc w:val="left"/>
      <w:textAlignment w:val="baseline"/>
    </w:pPr>
    <w:rPr>
      <w:rFonts w:ascii="Arial" w:hAnsi="Arial" w:cs="Arial"/>
      <w:b/>
      <w:bCs/>
      <w:kern w:val="0"/>
      <w:sz w:val="20"/>
      <w:szCs w:val="20"/>
      <w:lang w:val="en-GB" w:eastAsia="en-US"/>
    </w:rPr>
  </w:style>
  <w:style w:type="paragraph" w:customStyle="1" w:styleId="IWAKeyword">
    <w:name w:val="(IWA) Keyword"/>
    <w:basedOn w:val="a"/>
    <w:next w:val="1"/>
    <w:pPr>
      <w:widowControl/>
      <w:suppressLineNumbers/>
      <w:suppressAutoHyphens/>
      <w:overflowPunct w:val="0"/>
      <w:autoSpaceDE w:val="0"/>
      <w:autoSpaceDN w:val="0"/>
      <w:adjustRightInd w:val="0"/>
      <w:spacing w:line="220" w:lineRule="atLeast"/>
      <w:jc w:val="center"/>
      <w:textAlignment w:val="baseline"/>
    </w:pPr>
    <w:rPr>
      <w:rFonts w:ascii="Arial" w:hAnsi="Arial" w:cs="Arial"/>
      <w:kern w:val="0"/>
      <w:sz w:val="18"/>
      <w:szCs w:val="18"/>
      <w:lang w:val="en-GB" w:eastAsia="en-US"/>
    </w:rPr>
  </w:style>
  <w:style w:type="paragraph" w:customStyle="1" w:styleId="Authoraddress">
    <w:name w:val="Author address"/>
    <w:basedOn w:val="a"/>
    <w:next w:val="a"/>
    <w:pPr>
      <w:widowControl/>
      <w:suppressLineNumbers/>
      <w:suppressAutoHyphens/>
      <w:overflowPunct w:val="0"/>
      <w:autoSpaceDE w:val="0"/>
      <w:autoSpaceDN w:val="0"/>
      <w:adjustRightInd w:val="0"/>
      <w:spacing w:line="220" w:lineRule="atLeast"/>
      <w:jc w:val="left"/>
      <w:textAlignment w:val="baseline"/>
    </w:pPr>
    <w:rPr>
      <w:rFonts w:ascii="Arial" w:hAnsi="Arial" w:cs="Arial"/>
      <w:kern w:val="0"/>
      <w:sz w:val="18"/>
      <w:szCs w:val="18"/>
      <w:lang w:val="en-GB" w:eastAsia="en-US"/>
    </w:rPr>
  </w:style>
  <w:style w:type="paragraph" w:customStyle="1" w:styleId="PlainText1">
    <w:name w:val="Plain Text1"/>
    <w:basedOn w:val="a"/>
    <w:rPr>
      <w:rFonts w:ascii="Calibri" w:hAnsi="Courier New" w:cs="Courier New"/>
      <w:sz w:val="24"/>
      <w:lang w:eastAsia="zh-TW"/>
    </w:rPr>
  </w:style>
  <w:style w:type="paragraph" w:customStyle="1" w:styleId="IWAPaperTitle">
    <w:name w:val="(IWA) Paper Title"/>
    <w:basedOn w:val="a"/>
    <w:pPr>
      <w:widowControl/>
      <w:jc w:val="center"/>
    </w:pPr>
    <w:rPr>
      <w:rFonts w:ascii="Arial" w:hAnsi="Arial" w:cs="Arial"/>
      <w:b/>
      <w:bCs/>
      <w:kern w:val="0"/>
      <w:sz w:val="28"/>
      <w:szCs w:val="2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4313678">
      <w:bodyDiv w:val="1"/>
      <w:marLeft w:val="0"/>
      <w:marRight w:val="0"/>
      <w:marTop w:val="0"/>
      <w:marBottom w:val="0"/>
      <w:divBdr>
        <w:top w:val="none" w:sz="0" w:space="0" w:color="auto"/>
        <w:left w:val="none" w:sz="0" w:space="0" w:color="auto"/>
        <w:bottom w:val="none" w:sz="0" w:space="0" w:color="auto"/>
        <w:right w:val="none" w:sz="0" w:space="0" w:color="auto"/>
      </w:divBdr>
      <w:divsChild>
        <w:div w:id="260334712">
          <w:marLeft w:val="0"/>
          <w:marRight w:val="0"/>
          <w:marTop w:val="0"/>
          <w:marBottom w:val="0"/>
          <w:divBdr>
            <w:top w:val="none" w:sz="0" w:space="0" w:color="auto"/>
            <w:left w:val="none" w:sz="0" w:space="0" w:color="auto"/>
            <w:bottom w:val="none" w:sz="0" w:space="0" w:color="auto"/>
            <w:right w:val="none" w:sz="0" w:space="0" w:color="auto"/>
          </w:divBdr>
        </w:div>
        <w:div w:id="2043742978">
          <w:marLeft w:val="0"/>
          <w:marRight w:val="0"/>
          <w:marTop w:val="0"/>
          <w:marBottom w:val="0"/>
          <w:divBdr>
            <w:top w:val="none" w:sz="0" w:space="0" w:color="auto"/>
            <w:left w:val="none" w:sz="0" w:space="0" w:color="auto"/>
            <w:bottom w:val="none" w:sz="0" w:space="0" w:color="auto"/>
            <w:right w:val="none" w:sz="0" w:space="0" w:color="auto"/>
          </w:divBdr>
        </w:div>
        <w:div w:id="1161854330">
          <w:marLeft w:val="0"/>
          <w:marRight w:val="0"/>
          <w:marTop w:val="0"/>
          <w:marBottom w:val="0"/>
          <w:divBdr>
            <w:top w:val="none" w:sz="0" w:space="0" w:color="auto"/>
            <w:left w:val="none" w:sz="0" w:space="0" w:color="auto"/>
            <w:bottom w:val="none" w:sz="0" w:space="0" w:color="auto"/>
            <w:right w:val="none" w:sz="0" w:space="0" w:color="auto"/>
          </w:divBdr>
        </w:div>
        <w:div w:id="1901163725">
          <w:marLeft w:val="0"/>
          <w:marRight w:val="0"/>
          <w:marTop w:val="0"/>
          <w:marBottom w:val="0"/>
          <w:divBdr>
            <w:top w:val="none" w:sz="0" w:space="0" w:color="auto"/>
            <w:left w:val="none" w:sz="0" w:space="0" w:color="auto"/>
            <w:bottom w:val="none" w:sz="0" w:space="0" w:color="auto"/>
            <w:right w:val="none" w:sz="0" w:space="0" w:color="auto"/>
          </w:divBdr>
        </w:div>
        <w:div w:id="366300078">
          <w:marLeft w:val="0"/>
          <w:marRight w:val="0"/>
          <w:marTop w:val="0"/>
          <w:marBottom w:val="0"/>
          <w:divBdr>
            <w:top w:val="none" w:sz="0" w:space="0" w:color="auto"/>
            <w:left w:val="none" w:sz="0" w:space="0" w:color="auto"/>
            <w:bottom w:val="none" w:sz="0" w:space="0" w:color="auto"/>
            <w:right w:val="none" w:sz="0" w:space="0" w:color="auto"/>
          </w:divBdr>
        </w:div>
        <w:div w:id="2144884634">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883</Words>
  <Characters>5034</Characters>
  <Application>Microsoft Office Word</Application>
  <DocSecurity>0</DocSecurity>
  <PresentationFormat/>
  <Lines>41</Lines>
  <Paragraphs>11</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Title of Extended Abstract for the IWA-NRR 2012</vt:lpstr>
    </vt:vector>
  </TitlesOfParts>
  <Manager/>
  <Company>微软中国</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of Extended Abstract for the IWA-NRR 2012</dc:title>
  <dc:subject/>
  <dc:creator>微软用户</dc:creator>
  <cp:keywords/>
  <dc:description/>
  <cp:lastModifiedBy>Lenovo</cp:lastModifiedBy>
  <cp:revision>14</cp:revision>
  <dcterms:created xsi:type="dcterms:W3CDTF">2026-02-09T06:38:00Z</dcterms:created>
  <dcterms:modified xsi:type="dcterms:W3CDTF">2026-02-14T13:37:00Z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eyJoZGlkIjoiMzE1MTY4YzQ5NWFkMTYzNTg4MTg2NzdiNWQ5YzI3NmEiLCJ1c2VySWQiOiIzNzU0Njk5OTMifQ==</vt:lpwstr>
  </property>
  <property fmtid="{D5CDD505-2E9C-101B-9397-08002B2CF9AE}" pid="4" name="ICV">
    <vt:lpwstr>9F6B1C1C142F44238B93AD4D27136762_12</vt:lpwstr>
  </property>
</Properties>
</file>