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97F06D" w14:textId="1E20A322" w:rsidR="004520D3" w:rsidRPr="006779A3" w:rsidRDefault="004520D3" w:rsidP="006779A3">
      <w:pPr>
        <w:jc w:val="both"/>
        <w:rPr>
          <w:rFonts w:ascii="Times New Roman" w:hAnsi="Times New Roman" w:cs="Times New Roman"/>
          <w:b/>
          <w:bCs/>
          <w:sz w:val="24"/>
          <w:szCs w:val="24"/>
        </w:rPr>
      </w:pPr>
      <w:r w:rsidRPr="006779A3">
        <w:rPr>
          <w:rFonts w:ascii="Times New Roman" w:hAnsi="Times New Roman" w:cs="Times New Roman"/>
          <w:b/>
          <w:bCs/>
          <w:sz w:val="24"/>
          <w:szCs w:val="24"/>
        </w:rPr>
        <w:t>Formation of Trichloronitromethane from Algal Organic Matter Triggered by Far-UVC Irradiation: Mechanisms and Implications for Water Treatment</w:t>
      </w:r>
    </w:p>
    <w:p w14:paraId="212FB978" w14:textId="70C32ED2" w:rsidR="004520D3" w:rsidRPr="006779A3" w:rsidRDefault="006779A3" w:rsidP="006779A3">
      <w:pPr>
        <w:jc w:val="both"/>
        <w:rPr>
          <w:rFonts w:ascii="Times New Roman" w:hAnsi="Times New Roman" w:cs="Times New Roman"/>
          <w:sz w:val="24"/>
          <w:szCs w:val="24"/>
        </w:rPr>
      </w:pPr>
      <w:r w:rsidRPr="006779A3">
        <w:rPr>
          <w:rFonts w:ascii="Times New Roman" w:hAnsi="Times New Roman" w:cs="Times New Roman"/>
          <w:sz w:val="24"/>
          <w:szCs w:val="24"/>
        </w:rPr>
        <w:t>Xiaodi Duan</w:t>
      </w:r>
      <w:r w:rsidRPr="006779A3">
        <w:rPr>
          <w:rFonts w:ascii="Times New Roman" w:hAnsi="Times New Roman" w:cs="Times New Roman"/>
          <w:sz w:val="24"/>
          <w:szCs w:val="24"/>
          <w:vertAlign w:val="superscript"/>
        </w:rPr>
        <w:t>1,</w:t>
      </w:r>
      <w:r w:rsidRPr="006779A3">
        <w:rPr>
          <w:rFonts w:ascii="MS Gothic" w:eastAsia="MS Gothic" w:hAnsi="MS Gothic" w:cs="MS Gothic" w:hint="eastAsia"/>
          <w:sz w:val="24"/>
          <w:szCs w:val="24"/>
          <w:vertAlign w:val="superscript"/>
        </w:rPr>
        <w:t>∗</w:t>
      </w:r>
      <w:r w:rsidRPr="006779A3">
        <w:rPr>
          <w:rFonts w:ascii="Times New Roman" w:hAnsi="Times New Roman" w:cs="Times New Roman"/>
          <w:sz w:val="24"/>
          <w:szCs w:val="24"/>
        </w:rPr>
        <w:t xml:space="preserve">, </w:t>
      </w:r>
      <w:r w:rsidR="004520D3" w:rsidRPr="006779A3">
        <w:rPr>
          <w:rFonts w:ascii="Times New Roman" w:hAnsi="Times New Roman" w:cs="Times New Roman"/>
          <w:sz w:val="24"/>
          <w:szCs w:val="24"/>
        </w:rPr>
        <w:t>Yue Sun</w:t>
      </w:r>
      <w:r w:rsidR="004520D3" w:rsidRPr="006779A3">
        <w:rPr>
          <w:rFonts w:ascii="Times New Roman" w:hAnsi="Times New Roman" w:cs="Times New Roman"/>
          <w:sz w:val="24"/>
          <w:szCs w:val="24"/>
          <w:vertAlign w:val="superscript"/>
        </w:rPr>
        <w:t>1</w:t>
      </w:r>
      <w:r w:rsidR="004520D3" w:rsidRPr="006779A3">
        <w:rPr>
          <w:rFonts w:ascii="Times New Roman" w:hAnsi="Times New Roman" w:cs="Times New Roman"/>
          <w:sz w:val="24"/>
          <w:szCs w:val="24"/>
        </w:rPr>
        <w:t>, Liang Tang</w:t>
      </w:r>
      <w:r w:rsidR="004520D3" w:rsidRPr="006779A3">
        <w:rPr>
          <w:rFonts w:ascii="Times New Roman" w:hAnsi="Times New Roman" w:cs="Times New Roman"/>
          <w:sz w:val="24"/>
          <w:szCs w:val="24"/>
          <w:vertAlign w:val="superscript"/>
        </w:rPr>
        <w:t>1</w:t>
      </w:r>
    </w:p>
    <w:p w14:paraId="3EEB002B" w14:textId="05A0484E" w:rsidR="004520D3" w:rsidRPr="006779A3" w:rsidRDefault="004520D3" w:rsidP="006779A3">
      <w:pPr>
        <w:jc w:val="both"/>
        <w:rPr>
          <w:rFonts w:ascii="Times New Roman" w:hAnsi="Times New Roman" w:cs="Times New Roman"/>
          <w:sz w:val="24"/>
          <w:szCs w:val="24"/>
        </w:rPr>
      </w:pPr>
      <w:r w:rsidRPr="006779A3">
        <w:rPr>
          <w:rFonts w:ascii="Times New Roman" w:hAnsi="Times New Roman" w:cs="Times New Roman"/>
          <w:sz w:val="24"/>
          <w:szCs w:val="24"/>
        </w:rPr>
        <w:t>(</w:t>
      </w:r>
      <w:r w:rsidRPr="006779A3">
        <w:rPr>
          <w:rFonts w:ascii="Times New Roman" w:hAnsi="Times New Roman" w:cs="Times New Roman"/>
          <w:sz w:val="24"/>
          <w:szCs w:val="24"/>
          <w:vertAlign w:val="superscript"/>
        </w:rPr>
        <w:t>1</w:t>
      </w:r>
      <w:r w:rsidRPr="006779A3">
        <w:rPr>
          <w:rFonts w:ascii="Times New Roman" w:hAnsi="Times New Roman" w:cs="Times New Roman"/>
          <w:sz w:val="24"/>
          <w:szCs w:val="24"/>
        </w:rPr>
        <w:t xml:space="preserve"> Key Laboratory of Organic Compound Pollution Control Engineering (MOE), School of Environmental and Chemical Engineering, Shanghai University, Shanghai, China)</w:t>
      </w:r>
    </w:p>
    <w:p w14:paraId="587247B6" w14:textId="536CE7C1" w:rsidR="004520D3" w:rsidRPr="006779A3" w:rsidRDefault="004520D3" w:rsidP="006779A3">
      <w:pPr>
        <w:jc w:val="both"/>
        <w:rPr>
          <w:rFonts w:ascii="Times New Roman" w:hAnsi="Times New Roman" w:cs="Times New Roman"/>
          <w:sz w:val="24"/>
          <w:szCs w:val="24"/>
        </w:rPr>
      </w:pPr>
      <w:r w:rsidRPr="006779A3">
        <w:rPr>
          <w:rFonts w:ascii="Times New Roman" w:hAnsi="Times New Roman" w:cs="Times New Roman"/>
          <w:sz w:val="24"/>
          <w:szCs w:val="24"/>
        </w:rPr>
        <w:t xml:space="preserve">Presenting Author: </w:t>
      </w:r>
      <w:r w:rsidR="006779A3">
        <w:rPr>
          <w:rFonts w:ascii="Times New Roman" w:hAnsi="Times New Roman" w:cs="Times New Roman"/>
          <w:sz w:val="24"/>
          <w:szCs w:val="24"/>
        </w:rPr>
        <w:t>X</w:t>
      </w:r>
      <w:r w:rsidR="006779A3">
        <w:rPr>
          <w:rFonts w:ascii="Times New Roman" w:hAnsi="Times New Roman" w:cs="Times New Roman" w:hint="eastAsia"/>
          <w:sz w:val="24"/>
          <w:szCs w:val="24"/>
        </w:rPr>
        <w:t>iaodi</w:t>
      </w:r>
      <w:r w:rsidR="006779A3">
        <w:rPr>
          <w:rFonts w:ascii="Times New Roman" w:hAnsi="Times New Roman" w:cs="Times New Roman"/>
          <w:sz w:val="24"/>
          <w:szCs w:val="24"/>
        </w:rPr>
        <w:t xml:space="preserve"> Duan</w:t>
      </w:r>
    </w:p>
    <w:p w14:paraId="33360602" w14:textId="412E091E" w:rsidR="004520D3" w:rsidRDefault="004520D3" w:rsidP="006779A3">
      <w:pPr>
        <w:jc w:val="both"/>
        <w:rPr>
          <w:rFonts w:ascii="Times New Roman" w:hAnsi="Times New Roman" w:cs="Times New Roman"/>
          <w:sz w:val="24"/>
          <w:szCs w:val="24"/>
        </w:rPr>
      </w:pPr>
      <w:r w:rsidRPr="006779A3">
        <w:rPr>
          <w:rFonts w:ascii="Times New Roman" w:hAnsi="Times New Roman" w:cs="Times New Roman"/>
          <w:sz w:val="24"/>
          <w:szCs w:val="24"/>
        </w:rPr>
        <w:t>Keywords: Far-UVC; Algal Organic Matter; Trichloronitromethane; Singlet Oxygen; Nitrate</w:t>
      </w:r>
    </w:p>
    <w:p w14:paraId="76B5B765" w14:textId="77777777" w:rsidR="006779A3" w:rsidRPr="006779A3" w:rsidRDefault="006779A3" w:rsidP="006779A3">
      <w:pPr>
        <w:jc w:val="both"/>
        <w:rPr>
          <w:rFonts w:ascii="Times New Roman" w:hAnsi="Times New Roman" w:cs="Times New Roman"/>
          <w:sz w:val="24"/>
          <w:szCs w:val="24"/>
        </w:rPr>
      </w:pPr>
    </w:p>
    <w:p w14:paraId="3A913BFD" w14:textId="77777777" w:rsidR="004520D3" w:rsidRPr="006779A3" w:rsidRDefault="004520D3" w:rsidP="006779A3">
      <w:pPr>
        <w:jc w:val="both"/>
        <w:rPr>
          <w:rFonts w:ascii="Times New Roman" w:hAnsi="Times New Roman" w:cs="Times New Roman"/>
          <w:b/>
          <w:bCs/>
          <w:sz w:val="24"/>
          <w:szCs w:val="24"/>
        </w:rPr>
      </w:pPr>
      <w:r w:rsidRPr="006779A3">
        <w:rPr>
          <w:rFonts w:ascii="Times New Roman" w:hAnsi="Times New Roman" w:cs="Times New Roman"/>
          <w:b/>
          <w:bCs/>
          <w:sz w:val="24"/>
          <w:szCs w:val="24"/>
        </w:rPr>
        <w:t>Introduction</w:t>
      </w:r>
    </w:p>
    <w:p w14:paraId="70B73AC4" w14:textId="07E14987" w:rsidR="004520D3" w:rsidRPr="006779A3" w:rsidRDefault="004520D3" w:rsidP="006779A3">
      <w:pPr>
        <w:jc w:val="both"/>
        <w:rPr>
          <w:rFonts w:ascii="Times New Roman" w:hAnsi="Times New Roman" w:cs="Times New Roman"/>
          <w:sz w:val="24"/>
          <w:szCs w:val="24"/>
        </w:rPr>
      </w:pPr>
      <w:r w:rsidRPr="006779A3">
        <w:rPr>
          <w:rFonts w:ascii="Times New Roman" w:hAnsi="Times New Roman" w:cs="Times New Roman"/>
          <w:sz w:val="24"/>
          <w:szCs w:val="24"/>
        </w:rPr>
        <w:t>Far-ultraviolet light at 222 nm (UV</w:t>
      </w:r>
      <w:r w:rsidRPr="006779A3">
        <w:rPr>
          <w:rFonts w:ascii="Times New Roman" w:hAnsi="Times New Roman" w:cs="Times New Roman"/>
          <w:sz w:val="24"/>
          <w:szCs w:val="24"/>
          <w:vertAlign w:val="subscript"/>
        </w:rPr>
        <w:t>222</w:t>
      </w:r>
      <w:r w:rsidRPr="006779A3">
        <w:rPr>
          <w:rFonts w:ascii="Times New Roman" w:hAnsi="Times New Roman" w:cs="Times New Roman"/>
          <w:sz w:val="24"/>
          <w:szCs w:val="24"/>
        </w:rPr>
        <w:t xml:space="preserve">) from </w:t>
      </w:r>
      <w:proofErr w:type="spellStart"/>
      <w:r w:rsidRPr="006779A3">
        <w:rPr>
          <w:rFonts w:ascii="Times New Roman" w:hAnsi="Times New Roman" w:cs="Times New Roman"/>
          <w:sz w:val="24"/>
          <w:szCs w:val="24"/>
        </w:rPr>
        <w:t>KrCl</w:t>
      </w:r>
      <w:proofErr w:type="spellEnd"/>
      <w:r w:rsidRPr="006779A3">
        <w:rPr>
          <w:rFonts w:ascii="Times New Roman" w:hAnsi="Times New Roman" w:cs="Times New Roman"/>
          <w:sz w:val="24"/>
          <w:szCs w:val="24"/>
        </w:rPr>
        <w:t xml:space="preserve"> </w:t>
      </w:r>
      <w:proofErr w:type="spellStart"/>
      <w:r w:rsidRPr="006779A3">
        <w:rPr>
          <w:rFonts w:ascii="Times New Roman" w:hAnsi="Times New Roman" w:cs="Times New Roman"/>
          <w:sz w:val="24"/>
          <w:szCs w:val="24"/>
        </w:rPr>
        <w:t>excilamps</w:t>
      </w:r>
      <w:proofErr w:type="spellEnd"/>
      <w:r w:rsidRPr="006779A3">
        <w:rPr>
          <w:rFonts w:ascii="Times New Roman" w:hAnsi="Times New Roman" w:cs="Times New Roman"/>
          <w:sz w:val="24"/>
          <w:szCs w:val="24"/>
        </w:rPr>
        <w:t xml:space="preserve"> is gaining attention for its high efficiency in microbial inactivation and micropollutant degradation, coupled with enhanced human safety. However, its application in water impacted by harmful algal blooms, which release significant amounts of algal organic matter (AOM), requires careful evaluation. AOM is a potent precursor for nitrogenous disinfection by-products (N-DBPs), particularly the highly cytotoxic and genotoxic trichloronitromethane (TCNM). While UV</w:t>
      </w:r>
      <w:r w:rsidRPr="009D39C2">
        <w:rPr>
          <w:rFonts w:ascii="Times New Roman" w:hAnsi="Times New Roman" w:cs="Times New Roman"/>
          <w:sz w:val="24"/>
          <w:szCs w:val="24"/>
          <w:vertAlign w:val="subscript"/>
        </w:rPr>
        <w:t>254</w:t>
      </w:r>
      <w:r w:rsidRPr="006779A3">
        <w:rPr>
          <w:rFonts w:ascii="Times New Roman" w:hAnsi="Times New Roman" w:cs="Times New Roman"/>
          <w:sz w:val="24"/>
          <w:szCs w:val="24"/>
        </w:rPr>
        <w:t xml:space="preserve"> is widely used, the distinct photochemistry of UV</w:t>
      </w:r>
      <w:r w:rsidRPr="009D39C2">
        <w:rPr>
          <w:rFonts w:ascii="Times New Roman" w:hAnsi="Times New Roman" w:cs="Times New Roman"/>
          <w:sz w:val="24"/>
          <w:szCs w:val="24"/>
          <w:vertAlign w:val="subscript"/>
        </w:rPr>
        <w:t>222</w:t>
      </w:r>
      <w:r w:rsidRPr="006779A3">
        <w:rPr>
          <w:rFonts w:ascii="Times New Roman" w:hAnsi="Times New Roman" w:cs="Times New Roman"/>
          <w:sz w:val="24"/>
          <w:szCs w:val="24"/>
        </w:rPr>
        <w:t>, including its higher photon energy and potential for generating reactive species in water, may uniquely influence DBP precursor formation. This study aimed to systematically evaluate the TCNM formation potential (TCNM-FP) from extracellular (EOM) and intracellular (IOM) AOM fractions after UV</w:t>
      </w:r>
      <w:r w:rsidRPr="009D39C2">
        <w:rPr>
          <w:rFonts w:ascii="Times New Roman" w:hAnsi="Times New Roman" w:cs="Times New Roman"/>
          <w:sz w:val="24"/>
          <w:szCs w:val="24"/>
          <w:vertAlign w:val="subscript"/>
        </w:rPr>
        <w:t>222</w:t>
      </w:r>
      <w:r w:rsidRPr="006779A3">
        <w:rPr>
          <w:rFonts w:ascii="Times New Roman" w:hAnsi="Times New Roman" w:cs="Times New Roman"/>
          <w:sz w:val="24"/>
          <w:szCs w:val="24"/>
        </w:rPr>
        <w:t xml:space="preserve"> exposure</w:t>
      </w:r>
      <w:r w:rsidR="00AE5F85">
        <w:rPr>
          <w:rFonts w:ascii="Times New Roman" w:hAnsi="Times New Roman" w:cs="Times New Roman"/>
          <w:sz w:val="24"/>
          <w:szCs w:val="24"/>
        </w:rPr>
        <w:t xml:space="preserve"> and</w:t>
      </w:r>
      <w:r w:rsidRPr="006779A3">
        <w:rPr>
          <w:rFonts w:ascii="Times New Roman" w:hAnsi="Times New Roman" w:cs="Times New Roman"/>
          <w:sz w:val="24"/>
          <w:szCs w:val="24"/>
        </w:rPr>
        <w:t xml:space="preserve"> examine TCNM-FP in real surface and drinking waters.</w:t>
      </w:r>
    </w:p>
    <w:p w14:paraId="40565396" w14:textId="77777777" w:rsidR="004520D3" w:rsidRPr="006779A3" w:rsidRDefault="004520D3" w:rsidP="006779A3">
      <w:pPr>
        <w:jc w:val="both"/>
        <w:rPr>
          <w:rFonts w:ascii="Times New Roman" w:hAnsi="Times New Roman" w:cs="Times New Roman"/>
          <w:b/>
          <w:bCs/>
          <w:sz w:val="24"/>
          <w:szCs w:val="24"/>
        </w:rPr>
      </w:pPr>
      <w:r w:rsidRPr="006779A3">
        <w:rPr>
          <w:rFonts w:ascii="Times New Roman" w:hAnsi="Times New Roman" w:cs="Times New Roman"/>
          <w:b/>
          <w:bCs/>
          <w:sz w:val="24"/>
          <w:szCs w:val="24"/>
        </w:rPr>
        <w:t>Materials and Methods</w:t>
      </w:r>
    </w:p>
    <w:p w14:paraId="4AD16800" w14:textId="27C96653" w:rsidR="004520D3" w:rsidRPr="006779A3" w:rsidRDefault="004520D3" w:rsidP="006779A3">
      <w:pPr>
        <w:jc w:val="both"/>
        <w:rPr>
          <w:rFonts w:ascii="Times New Roman" w:hAnsi="Times New Roman" w:cs="Times New Roman"/>
          <w:sz w:val="24"/>
          <w:szCs w:val="24"/>
        </w:rPr>
      </w:pPr>
      <w:r w:rsidRPr="006779A3">
        <w:rPr>
          <w:rFonts w:ascii="Times New Roman" w:hAnsi="Times New Roman" w:cs="Times New Roman"/>
          <w:sz w:val="24"/>
          <w:szCs w:val="24"/>
        </w:rPr>
        <w:t xml:space="preserve">A collimated beam apparatus equipped with a 222 nm </w:t>
      </w:r>
      <w:proofErr w:type="spellStart"/>
      <w:r w:rsidRPr="006779A3">
        <w:rPr>
          <w:rFonts w:ascii="Times New Roman" w:hAnsi="Times New Roman" w:cs="Times New Roman"/>
          <w:sz w:val="24"/>
          <w:szCs w:val="24"/>
        </w:rPr>
        <w:t>KrCl</w:t>
      </w:r>
      <w:proofErr w:type="spellEnd"/>
      <w:r w:rsidRPr="006779A3">
        <w:rPr>
          <w:rFonts w:ascii="Times New Roman" w:hAnsi="Times New Roman" w:cs="Times New Roman"/>
          <w:sz w:val="24"/>
          <w:szCs w:val="24"/>
        </w:rPr>
        <w:t xml:space="preserve"> excimer lamp or 255 nm UV-LEDs (as a proxy for conventional UV</w:t>
      </w:r>
      <w:r w:rsidRPr="009D39C2">
        <w:rPr>
          <w:rFonts w:ascii="Times New Roman" w:hAnsi="Times New Roman" w:cs="Times New Roman"/>
          <w:sz w:val="24"/>
          <w:szCs w:val="24"/>
          <w:vertAlign w:val="subscript"/>
        </w:rPr>
        <w:t>254</w:t>
      </w:r>
      <w:r w:rsidRPr="006779A3">
        <w:rPr>
          <w:rFonts w:ascii="Times New Roman" w:hAnsi="Times New Roman" w:cs="Times New Roman"/>
          <w:sz w:val="24"/>
          <w:szCs w:val="24"/>
        </w:rPr>
        <w:t xml:space="preserve">) was used for irradiation. Microcystis aeruginosa was cultivated, and EOM and IOM were extracted. Reactive species (singlet oxygen, hydroxyl radical, superoxide) were identified and semi-quantified using electron paramagnetic resonance (EPR) spectroscopy. For TCNM-FP tests, AOM solutions (DOC = 5 mg C/L) and real water samples were irradiated at various UV fluences (0–600 </w:t>
      </w:r>
      <w:proofErr w:type="spellStart"/>
      <w:r w:rsidRPr="006779A3">
        <w:rPr>
          <w:rFonts w:ascii="Times New Roman" w:hAnsi="Times New Roman" w:cs="Times New Roman"/>
          <w:sz w:val="24"/>
          <w:szCs w:val="24"/>
        </w:rPr>
        <w:t>mJ</w:t>
      </w:r>
      <w:proofErr w:type="spellEnd"/>
      <w:r w:rsidRPr="006779A3">
        <w:rPr>
          <w:rFonts w:ascii="Times New Roman" w:hAnsi="Times New Roman" w:cs="Times New Roman"/>
          <w:sz w:val="24"/>
          <w:szCs w:val="24"/>
        </w:rPr>
        <w:t xml:space="preserve">/cm²), followed by chlorination with </w:t>
      </w:r>
      <w:proofErr w:type="spellStart"/>
      <w:r w:rsidRPr="006779A3">
        <w:rPr>
          <w:rFonts w:ascii="Times New Roman" w:hAnsi="Times New Roman" w:cs="Times New Roman"/>
          <w:sz w:val="24"/>
          <w:szCs w:val="24"/>
        </w:rPr>
        <w:t>NaOCl</w:t>
      </w:r>
      <w:proofErr w:type="spellEnd"/>
      <w:r w:rsidRPr="006779A3">
        <w:rPr>
          <w:rFonts w:ascii="Times New Roman" w:hAnsi="Times New Roman" w:cs="Times New Roman"/>
          <w:sz w:val="24"/>
          <w:szCs w:val="24"/>
        </w:rPr>
        <w:t xml:space="preserve"> (24 h, 25°C, dark). TCNM was quantified using GC-TOFMS. The fluorescent composition of organic matter was characterized by three-dimensional excitation-emission matrix (3D-EEM) spectroscopy with fluorescence regional integration (FRI). The effects of model precursors (humic acid, fulvic acid, tryptophan, </w:t>
      </w:r>
      <w:r w:rsidR="00AE5F85">
        <w:rPr>
          <w:rFonts w:ascii="Times New Roman" w:hAnsi="Times New Roman" w:cs="Times New Roman" w:hint="eastAsia"/>
          <w:sz w:val="24"/>
          <w:szCs w:val="24"/>
        </w:rPr>
        <w:t>and</w:t>
      </w:r>
      <w:r w:rsidR="00AE5F85">
        <w:rPr>
          <w:rFonts w:ascii="Times New Roman" w:hAnsi="Times New Roman" w:cs="Times New Roman"/>
          <w:sz w:val="24"/>
          <w:szCs w:val="24"/>
        </w:rPr>
        <w:t xml:space="preserve"> </w:t>
      </w:r>
      <w:r w:rsidRPr="006779A3">
        <w:rPr>
          <w:rFonts w:ascii="Times New Roman" w:hAnsi="Times New Roman" w:cs="Times New Roman"/>
          <w:sz w:val="24"/>
          <w:szCs w:val="24"/>
        </w:rPr>
        <w:t>alanine) and added nitrate on TCNM-FP were also investigated.</w:t>
      </w:r>
    </w:p>
    <w:p w14:paraId="5E8F9EEA" w14:textId="77777777" w:rsidR="004520D3" w:rsidRPr="006779A3" w:rsidRDefault="004520D3" w:rsidP="006779A3">
      <w:pPr>
        <w:jc w:val="both"/>
        <w:rPr>
          <w:rFonts w:ascii="Times New Roman" w:hAnsi="Times New Roman" w:cs="Times New Roman"/>
          <w:b/>
          <w:bCs/>
          <w:sz w:val="24"/>
          <w:szCs w:val="24"/>
        </w:rPr>
      </w:pPr>
      <w:r w:rsidRPr="006779A3">
        <w:rPr>
          <w:rFonts w:ascii="Times New Roman" w:hAnsi="Times New Roman" w:cs="Times New Roman"/>
          <w:b/>
          <w:bCs/>
          <w:sz w:val="24"/>
          <w:szCs w:val="24"/>
        </w:rPr>
        <w:t>Results and Discussion</w:t>
      </w:r>
    </w:p>
    <w:p w14:paraId="46D06BD2" w14:textId="1F8F9288" w:rsidR="004520D3" w:rsidRPr="006779A3" w:rsidRDefault="004520D3" w:rsidP="006779A3">
      <w:pPr>
        <w:jc w:val="both"/>
        <w:rPr>
          <w:rFonts w:ascii="Times New Roman" w:hAnsi="Times New Roman" w:cs="Times New Roman"/>
          <w:sz w:val="24"/>
          <w:szCs w:val="24"/>
        </w:rPr>
      </w:pPr>
      <w:r w:rsidRPr="006779A3">
        <w:rPr>
          <w:rFonts w:ascii="Times New Roman" w:hAnsi="Times New Roman" w:cs="Times New Roman"/>
          <w:sz w:val="24"/>
          <w:szCs w:val="24"/>
        </w:rPr>
        <w:t xml:space="preserve">EPR and probe experiments confirmed the stable generation of </w:t>
      </w:r>
      <w:r w:rsidRPr="009D39C2">
        <w:rPr>
          <w:rFonts w:ascii="Times New Roman" w:hAnsi="Times New Roman" w:cs="Times New Roman"/>
          <w:sz w:val="24"/>
          <w:szCs w:val="24"/>
          <w:vertAlign w:val="superscript"/>
        </w:rPr>
        <w:t>1</w:t>
      </w:r>
      <w:r w:rsidRPr="006779A3">
        <w:rPr>
          <w:rFonts w:ascii="Times New Roman" w:hAnsi="Times New Roman" w:cs="Times New Roman"/>
          <w:sz w:val="24"/>
          <w:szCs w:val="24"/>
        </w:rPr>
        <w:t>O</w:t>
      </w:r>
      <w:r w:rsidRPr="009D39C2">
        <w:rPr>
          <w:rFonts w:ascii="Times New Roman" w:hAnsi="Times New Roman" w:cs="Times New Roman"/>
          <w:sz w:val="24"/>
          <w:szCs w:val="24"/>
          <w:vertAlign w:val="subscript"/>
        </w:rPr>
        <w:t>2</w:t>
      </w:r>
      <w:r w:rsidRPr="006779A3">
        <w:rPr>
          <w:rFonts w:ascii="Times New Roman" w:hAnsi="Times New Roman" w:cs="Times New Roman"/>
          <w:sz w:val="24"/>
          <w:szCs w:val="24"/>
        </w:rPr>
        <w:t xml:space="preserve"> during UV</w:t>
      </w:r>
      <w:r w:rsidRPr="009D39C2">
        <w:rPr>
          <w:rFonts w:ascii="Times New Roman" w:hAnsi="Times New Roman" w:cs="Times New Roman"/>
          <w:sz w:val="24"/>
          <w:szCs w:val="24"/>
          <w:vertAlign w:val="subscript"/>
        </w:rPr>
        <w:t>222</w:t>
      </w:r>
      <w:r w:rsidR="009D39C2">
        <w:rPr>
          <w:rFonts w:ascii="Times New Roman" w:hAnsi="Times New Roman" w:cs="Times New Roman"/>
          <w:sz w:val="24"/>
          <w:szCs w:val="24"/>
        </w:rPr>
        <w:t xml:space="preserve"> </w:t>
      </w:r>
      <w:r w:rsidRPr="006779A3">
        <w:rPr>
          <w:rFonts w:ascii="Times New Roman" w:hAnsi="Times New Roman" w:cs="Times New Roman"/>
          <w:sz w:val="24"/>
          <w:szCs w:val="24"/>
        </w:rPr>
        <w:t>irradiation of ultrapure water, a process dependent on dissolved oxygen and water molecules. HO</w:t>
      </w:r>
      <w:r w:rsidRPr="00AE5F85">
        <w:rPr>
          <w:rFonts w:ascii="Times New Roman" w:hAnsi="Times New Roman" w:cs="Times New Roman"/>
          <w:sz w:val="24"/>
          <w:szCs w:val="24"/>
          <w:vertAlign w:val="superscript"/>
        </w:rPr>
        <w:t>•</w:t>
      </w:r>
      <w:r w:rsidRPr="006779A3">
        <w:rPr>
          <w:rFonts w:ascii="Times New Roman" w:hAnsi="Times New Roman" w:cs="Times New Roman"/>
          <w:sz w:val="24"/>
          <w:szCs w:val="24"/>
        </w:rPr>
        <w:t xml:space="preserve"> and O</w:t>
      </w:r>
      <w:r w:rsidRPr="009D39C2">
        <w:rPr>
          <w:rFonts w:ascii="Times New Roman" w:hAnsi="Times New Roman" w:cs="Times New Roman"/>
          <w:sz w:val="24"/>
          <w:szCs w:val="24"/>
          <w:vertAlign w:val="subscript"/>
        </w:rPr>
        <w:t>2</w:t>
      </w:r>
      <w:r w:rsidRPr="009D39C2">
        <w:rPr>
          <w:rFonts w:ascii="Times New Roman" w:hAnsi="Times New Roman" w:cs="Times New Roman"/>
          <w:sz w:val="24"/>
          <w:szCs w:val="24"/>
          <w:vertAlign w:val="superscript"/>
        </w:rPr>
        <w:t>•−</w:t>
      </w:r>
      <w:r w:rsidRPr="006779A3">
        <w:rPr>
          <w:rFonts w:ascii="Times New Roman" w:hAnsi="Times New Roman" w:cs="Times New Roman"/>
          <w:sz w:val="24"/>
          <w:szCs w:val="24"/>
        </w:rPr>
        <w:t xml:space="preserve"> were also detected. This reactive environment significantly altered AOM. UV</w:t>
      </w:r>
      <w:r w:rsidRPr="009D39C2">
        <w:rPr>
          <w:rFonts w:ascii="Times New Roman" w:hAnsi="Times New Roman" w:cs="Times New Roman"/>
          <w:sz w:val="24"/>
          <w:szCs w:val="24"/>
          <w:vertAlign w:val="subscript"/>
        </w:rPr>
        <w:t>222</w:t>
      </w:r>
      <w:r w:rsidRPr="006779A3">
        <w:rPr>
          <w:rFonts w:ascii="Times New Roman" w:hAnsi="Times New Roman" w:cs="Times New Roman"/>
          <w:sz w:val="24"/>
          <w:szCs w:val="24"/>
        </w:rPr>
        <w:t xml:space="preserve"> irradiation markedly promoted TCNM-FP from EOM, which increased to a maximum (~186.5 µg/L at 400 </w:t>
      </w:r>
      <w:proofErr w:type="spellStart"/>
      <w:r w:rsidRPr="006779A3">
        <w:rPr>
          <w:rFonts w:ascii="Times New Roman" w:hAnsi="Times New Roman" w:cs="Times New Roman"/>
          <w:sz w:val="24"/>
          <w:szCs w:val="24"/>
        </w:rPr>
        <w:t>mJ</w:t>
      </w:r>
      <w:proofErr w:type="spellEnd"/>
      <w:r w:rsidRPr="006779A3">
        <w:rPr>
          <w:rFonts w:ascii="Times New Roman" w:hAnsi="Times New Roman" w:cs="Times New Roman"/>
          <w:sz w:val="24"/>
          <w:szCs w:val="24"/>
        </w:rPr>
        <w:t>/cm</w:t>
      </w:r>
      <w:r w:rsidR="009D39C2" w:rsidRPr="009D39C2">
        <w:rPr>
          <w:rFonts w:ascii="Times New Roman" w:hAnsi="Times New Roman" w:cs="Times New Roman"/>
          <w:sz w:val="24"/>
          <w:szCs w:val="24"/>
          <w:vertAlign w:val="superscript"/>
        </w:rPr>
        <w:t>2</w:t>
      </w:r>
      <w:r w:rsidRPr="006779A3">
        <w:rPr>
          <w:rFonts w:ascii="Times New Roman" w:hAnsi="Times New Roman" w:cs="Times New Roman"/>
          <w:sz w:val="24"/>
          <w:szCs w:val="24"/>
        </w:rPr>
        <w:t>) before declining at higher fluences, likely due to precursor degradation. In contrast, UV</w:t>
      </w:r>
      <w:r w:rsidRPr="009D39C2">
        <w:rPr>
          <w:rFonts w:ascii="Times New Roman" w:hAnsi="Times New Roman" w:cs="Times New Roman"/>
          <w:sz w:val="24"/>
          <w:szCs w:val="24"/>
          <w:vertAlign w:val="subscript"/>
        </w:rPr>
        <w:t>255</w:t>
      </w:r>
      <w:r w:rsidRPr="006779A3">
        <w:rPr>
          <w:rFonts w:ascii="Times New Roman" w:hAnsi="Times New Roman" w:cs="Times New Roman"/>
          <w:sz w:val="24"/>
          <w:szCs w:val="24"/>
        </w:rPr>
        <w:t xml:space="preserve"> </w:t>
      </w:r>
      <w:r w:rsidRPr="006779A3">
        <w:rPr>
          <w:rFonts w:ascii="Times New Roman" w:hAnsi="Times New Roman" w:cs="Times New Roman"/>
          <w:sz w:val="24"/>
          <w:szCs w:val="24"/>
        </w:rPr>
        <w:lastRenderedPageBreak/>
        <w:t>irradiation produced no TCNM from any AOM fraction, and no TCNM was detected from IOM under UV</w:t>
      </w:r>
      <w:r w:rsidRPr="009D39C2">
        <w:rPr>
          <w:rFonts w:ascii="Times New Roman" w:hAnsi="Times New Roman" w:cs="Times New Roman"/>
          <w:sz w:val="24"/>
          <w:szCs w:val="24"/>
          <w:vertAlign w:val="subscript"/>
        </w:rPr>
        <w:t>222</w:t>
      </w:r>
      <w:r w:rsidRPr="006779A3">
        <w:rPr>
          <w:rFonts w:ascii="Times New Roman" w:hAnsi="Times New Roman" w:cs="Times New Roman"/>
          <w:sz w:val="24"/>
          <w:szCs w:val="24"/>
        </w:rPr>
        <w:t>.</w:t>
      </w:r>
    </w:p>
    <w:p w14:paraId="44C537F2" w14:textId="1B233C67" w:rsidR="004520D3" w:rsidRPr="006779A3" w:rsidRDefault="004520D3" w:rsidP="006779A3">
      <w:pPr>
        <w:jc w:val="both"/>
        <w:rPr>
          <w:rFonts w:ascii="Times New Roman" w:hAnsi="Times New Roman" w:cs="Times New Roman"/>
          <w:sz w:val="24"/>
          <w:szCs w:val="24"/>
        </w:rPr>
      </w:pPr>
      <w:r w:rsidRPr="006779A3">
        <w:rPr>
          <w:rFonts w:ascii="Times New Roman" w:hAnsi="Times New Roman" w:cs="Times New Roman"/>
          <w:sz w:val="24"/>
          <w:szCs w:val="24"/>
        </w:rPr>
        <w:t>3D-EEM and FRI analysis revealed that the increase in TCNM-FP from EOM correlated positively with the proportion of humic acid-like components. Model compound tests confirmed that humic acid, but not fulvic acid, tryptophan, or alanine, generated TCNM after UV</w:t>
      </w:r>
      <w:r w:rsidRPr="009D39C2">
        <w:rPr>
          <w:rFonts w:ascii="Times New Roman" w:hAnsi="Times New Roman" w:cs="Times New Roman"/>
          <w:sz w:val="24"/>
          <w:szCs w:val="24"/>
          <w:vertAlign w:val="subscript"/>
        </w:rPr>
        <w:t xml:space="preserve">222 </w:t>
      </w:r>
      <w:r w:rsidRPr="006779A3">
        <w:rPr>
          <w:rFonts w:ascii="Times New Roman" w:hAnsi="Times New Roman" w:cs="Times New Roman"/>
          <w:sz w:val="24"/>
          <w:szCs w:val="24"/>
        </w:rPr>
        <w:t>irradiation and chlorination, identifying humic acid-like substances as key precursors.</w:t>
      </w:r>
    </w:p>
    <w:p w14:paraId="5D0024E4" w14:textId="09603056" w:rsidR="004520D3" w:rsidRPr="006779A3" w:rsidRDefault="004520D3" w:rsidP="006779A3">
      <w:pPr>
        <w:jc w:val="both"/>
        <w:rPr>
          <w:rFonts w:ascii="Times New Roman" w:hAnsi="Times New Roman" w:cs="Times New Roman"/>
          <w:sz w:val="24"/>
          <w:szCs w:val="24"/>
        </w:rPr>
      </w:pPr>
      <w:r w:rsidRPr="006779A3">
        <w:rPr>
          <w:rFonts w:ascii="Times New Roman" w:hAnsi="Times New Roman" w:cs="Times New Roman"/>
          <w:sz w:val="24"/>
          <w:szCs w:val="24"/>
        </w:rPr>
        <w:t>While IOM alone did not yield TCNM, the addition of a relatively low concentration of nitrate (1 mg-N/L) to IOM solutions enabled TCNM formation after UV</w:t>
      </w:r>
      <w:r w:rsidRPr="001D6274">
        <w:rPr>
          <w:rFonts w:ascii="Times New Roman" w:hAnsi="Times New Roman" w:cs="Times New Roman"/>
          <w:sz w:val="24"/>
          <w:szCs w:val="24"/>
          <w:vertAlign w:val="subscript"/>
        </w:rPr>
        <w:t>222</w:t>
      </w:r>
      <w:r w:rsidRPr="006779A3">
        <w:rPr>
          <w:rFonts w:ascii="Times New Roman" w:hAnsi="Times New Roman" w:cs="Times New Roman"/>
          <w:sz w:val="24"/>
          <w:szCs w:val="24"/>
        </w:rPr>
        <w:t xml:space="preserve"> irradiation, enhancing precursor generation likely through photolysis to reactive nitrogen species. Higher nitrate concentrations reduced TCNM-FP, attributed to light screening effects.</w:t>
      </w:r>
    </w:p>
    <w:p w14:paraId="699420D5" w14:textId="4A2B03F2" w:rsidR="004520D3" w:rsidRPr="006779A3" w:rsidRDefault="004520D3" w:rsidP="006779A3">
      <w:pPr>
        <w:jc w:val="both"/>
        <w:rPr>
          <w:rFonts w:ascii="Times New Roman" w:hAnsi="Times New Roman" w:cs="Times New Roman"/>
          <w:sz w:val="24"/>
          <w:szCs w:val="24"/>
        </w:rPr>
      </w:pPr>
      <w:r w:rsidRPr="006779A3">
        <w:rPr>
          <w:rFonts w:ascii="Times New Roman" w:hAnsi="Times New Roman" w:cs="Times New Roman"/>
          <w:sz w:val="24"/>
          <w:szCs w:val="24"/>
        </w:rPr>
        <w:t>In real waters, UV</w:t>
      </w:r>
      <w:r w:rsidRPr="001D6274">
        <w:rPr>
          <w:rFonts w:ascii="Times New Roman" w:hAnsi="Times New Roman" w:cs="Times New Roman"/>
          <w:sz w:val="24"/>
          <w:szCs w:val="24"/>
          <w:vertAlign w:val="subscript"/>
        </w:rPr>
        <w:t>222</w:t>
      </w:r>
      <w:r w:rsidRPr="006779A3">
        <w:rPr>
          <w:rFonts w:ascii="Times New Roman" w:hAnsi="Times New Roman" w:cs="Times New Roman"/>
          <w:sz w:val="24"/>
          <w:szCs w:val="24"/>
        </w:rPr>
        <w:t xml:space="preserve"> irradiation also increased TCNM-FP in surface water (SW) and drinking water source water (DW-RAW), with trends similar to EOM. However, no TCNM was formed in treated drinking water after filtration (DW-AF), where conventional processes had effectively removed DBP precursors, particularly humic acid-like substances.</w:t>
      </w:r>
    </w:p>
    <w:p w14:paraId="72BC7BB2" w14:textId="77777777" w:rsidR="004520D3" w:rsidRPr="006779A3" w:rsidRDefault="004520D3" w:rsidP="006779A3">
      <w:pPr>
        <w:jc w:val="both"/>
        <w:rPr>
          <w:rFonts w:ascii="Times New Roman" w:hAnsi="Times New Roman" w:cs="Times New Roman"/>
          <w:b/>
          <w:bCs/>
          <w:sz w:val="24"/>
          <w:szCs w:val="24"/>
        </w:rPr>
      </w:pPr>
      <w:r w:rsidRPr="006779A3">
        <w:rPr>
          <w:rFonts w:ascii="Times New Roman" w:hAnsi="Times New Roman" w:cs="Times New Roman"/>
          <w:b/>
          <w:bCs/>
          <w:sz w:val="24"/>
          <w:szCs w:val="24"/>
        </w:rPr>
        <w:t>Conclusions</w:t>
      </w:r>
    </w:p>
    <w:p w14:paraId="43E24038" w14:textId="7DA647F2" w:rsidR="004520D3" w:rsidRPr="006779A3" w:rsidRDefault="004520D3" w:rsidP="006779A3">
      <w:pPr>
        <w:jc w:val="both"/>
        <w:rPr>
          <w:rFonts w:ascii="Times New Roman" w:hAnsi="Times New Roman" w:cs="Times New Roman"/>
          <w:sz w:val="24"/>
          <w:szCs w:val="24"/>
        </w:rPr>
      </w:pPr>
      <w:r w:rsidRPr="006779A3">
        <w:rPr>
          <w:rFonts w:ascii="Times New Roman" w:hAnsi="Times New Roman" w:cs="Times New Roman"/>
          <w:sz w:val="24"/>
          <w:szCs w:val="24"/>
        </w:rPr>
        <w:t>This study demonstrates that UV</w:t>
      </w:r>
      <w:r w:rsidRPr="001D6274">
        <w:rPr>
          <w:rFonts w:ascii="Times New Roman" w:hAnsi="Times New Roman" w:cs="Times New Roman"/>
          <w:sz w:val="24"/>
          <w:szCs w:val="24"/>
          <w:vertAlign w:val="subscript"/>
        </w:rPr>
        <w:t>222</w:t>
      </w:r>
      <w:r w:rsidRPr="006779A3">
        <w:rPr>
          <w:rFonts w:ascii="Times New Roman" w:hAnsi="Times New Roman" w:cs="Times New Roman"/>
          <w:sz w:val="24"/>
          <w:szCs w:val="24"/>
        </w:rPr>
        <w:t xml:space="preserve"> irradiation, through the generation of </w:t>
      </w:r>
      <w:r w:rsidRPr="001D6274">
        <w:rPr>
          <w:rFonts w:ascii="Times New Roman" w:hAnsi="Times New Roman" w:cs="Times New Roman"/>
          <w:sz w:val="24"/>
          <w:szCs w:val="24"/>
          <w:vertAlign w:val="superscript"/>
        </w:rPr>
        <w:t>1</w:t>
      </w:r>
      <w:r w:rsidRPr="006779A3">
        <w:rPr>
          <w:rFonts w:ascii="Times New Roman" w:hAnsi="Times New Roman" w:cs="Times New Roman"/>
          <w:sz w:val="24"/>
          <w:szCs w:val="24"/>
        </w:rPr>
        <w:t>O</w:t>
      </w:r>
      <w:r w:rsidRPr="001D6274">
        <w:rPr>
          <w:rFonts w:ascii="Times New Roman" w:hAnsi="Times New Roman" w:cs="Times New Roman"/>
          <w:sz w:val="24"/>
          <w:szCs w:val="24"/>
          <w:vertAlign w:val="subscript"/>
        </w:rPr>
        <w:t>2</w:t>
      </w:r>
      <w:r w:rsidRPr="006779A3">
        <w:rPr>
          <w:rFonts w:ascii="Times New Roman" w:hAnsi="Times New Roman" w:cs="Times New Roman"/>
          <w:sz w:val="24"/>
          <w:szCs w:val="24"/>
        </w:rPr>
        <w:t xml:space="preserve"> and other reactive species, can significantly promote the formation of TCNM precursors from algal organic matter, a risk not observed with conventional UV</w:t>
      </w:r>
      <w:r w:rsidRPr="001D6274">
        <w:rPr>
          <w:rFonts w:ascii="Times New Roman" w:hAnsi="Times New Roman" w:cs="Times New Roman"/>
          <w:sz w:val="24"/>
          <w:szCs w:val="24"/>
          <w:vertAlign w:val="subscript"/>
        </w:rPr>
        <w:t>254</w:t>
      </w:r>
      <w:r w:rsidRPr="006779A3">
        <w:rPr>
          <w:rFonts w:ascii="Times New Roman" w:hAnsi="Times New Roman" w:cs="Times New Roman"/>
          <w:sz w:val="24"/>
          <w:szCs w:val="24"/>
        </w:rPr>
        <w:t xml:space="preserve">. The risk is primarily associated with humic acid-like components in extracellular AOM. The presence of nitrate at environmental levels can further enhance this risk for intracellular </w:t>
      </w:r>
      <w:r w:rsidR="00AE5F85">
        <w:rPr>
          <w:rFonts w:ascii="Times New Roman" w:hAnsi="Times New Roman" w:cs="Times New Roman"/>
          <w:sz w:val="24"/>
          <w:szCs w:val="24"/>
        </w:rPr>
        <w:t>AOM</w:t>
      </w:r>
      <w:r w:rsidRPr="006779A3">
        <w:rPr>
          <w:rFonts w:ascii="Times New Roman" w:hAnsi="Times New Roman" w:cs="Times New Roman"/>
          <w:sz w:val="24"/>
          <w:szCs w:val="24"/>
        </w:rPr>
        <w:t>. Crucially, conventional drinking water treatment processes, such as filtration, can mitigate this risk by removing the relevant precursors. These findings highlight the need for a balanced evaluation of UV</w:t>
      </w:r>
      <w:r w:rsidRPr="001D6274">
        <w:rPr>
          <w:rFonts w:ascii="Times New Roman" w:hAnsi="Times New Roman" w:cs="Times New Roman"/>
          <w:sz w:val="24"/>
          <w:szCs w:val="24"/>
          <w:vertAlign w:val="subscript"/>
        </w:rPr>
        <w:t>222</w:t>
      </w:r>
      <w:r w:rsidRPr="006779A3">
        <w:rPr>
          <w:rFonts w:ascii="Times New Roman" w:hAnsi="Times New Roman" w:cs="Times New Roman"/>
          <w:sz w:val="24"/>
          <w:szCs w:val="24"/>
        </w:rPr>
        <w:t xml:space="preserve"> technology, considering its promising disinfection efficacy alongside potential DBP formation risks, especially in algal-impacted water sources.</w:t>
      </w:r>
    </w:p>
    <w:p w14:paraId="59C67531" w14:textId="77777777" w:rsidR="004520D3" w:rsidRPr="006779A3" w:rsidRDefault="004520D3" w:rsidP="006779A3">
      <w:pPr>
        <w:jc w:val="both"/>
        <w:rPr>
          <w:rFonts w:ascii="Times New Roman" w:hAnsi="Times New Roman" w:cs="Times New Roman"/>
          <w:b/>
          <w:bCs/>
          <w:sz w:val="24"/>
          <w:szCs w:val="24"/>
        </w:rPr>
      </w:pPr>
      <w:r w:rsidRPr="006779A3">
        <w:rPr>
          <w:rFonts w:ascii="Times New Roman" w:hAnsi="Times New Roman" w:cs="Times New Roman"/>
          <w:b/>
          <w:bCs/>
          <w:sz w:val="24"/>
          <w:szCs w:val="24"/>
        </w:rPr>
        <w:t>References</w:t>
      </w:r>
    </w:p>
    <w:p w14:paraId="2D8AB244" w14:textId="77777777" w:rsidR="004520D3" w:rsidRPr="006779A3" w:rsidRDefault="004520D3" w:rsidP="006779A3">
      <w:pPr>
        <w:jc w:val="both"/>
        <w:rPr>
          <w:rFonts w:ascii="Times New Roman" w:hAnsi="Times New Roman" w:cs="Times New Roman"/>
          <w:sz w:val="20"/>
          <w:szCs w:val="20"/>
        </w:rPr>
      </w:pPr>
      <w:r w:rsidRPr="006779A3">
        <w:rPr>
          <w:rFonts w:ascii="Times New Roman" w:hAnsi="Times New Roman" w:cs="Times New Roman"/>
          <w:sz w:val="20"/>
          <w:szCs w:val="20"/>
        </w:rPr>
        <w:t>Fang, J., Ma, J., Yang, X., Shang, C., 2010. Formation of carbonaceous and nitrogenous disinfection by-products from the chlorination of Microcystis aeruginosa. Water Res., 44(6), 1934-1940.</w:t>
      </w:r>
    </w:p>
    <w:p w14:paraId="3CE5AFE6" w14:textId="43FE485E" w:rsidR="004520D3" w:rsidRPr="006779A3" w:rsidRDefault="00155124" w:rsidP="00155124">
      <w:pPr>
        <w:jc w:val="both"/>
        <w:rPr>
          <w:rFonts w:ascii="Times New Roman" w:hAnsi="Times New Roman" w:cs="Times New Roman"/>
          <w:sz w:val="20"/>
          <w:szCs w:val="20"/>
        </w:rPr>
      </w:pPr>
      <w:r w:rsidRPr="00155124">
        <w:rPr>
          <w:rFonts w:ascii="Times New Roman" w:hAnsi="Times New Roman" w:cs="Times New Roman"/>
          <w:sz w:val="20"/>
          <w:szCs w:val="20"/>
        </w:rPr>
        <w:t>Payne, E.M., Langelan, E.G., Linden, K.G., 2025. High absorbance of nitrate leads to</w:t>
      </w:r>
      <w:r>
        <w:rPr>
          <w:rFonts w:ascii="Times New Roman" w:hAnsi="Times New Roman" w:cs="Times New Roman"/>
          <w:sz w:val="20"/>
          <w:szCs w:val="20"/>
        </w:rPr>
        <w:t xml:space="preserve"> </w:t>
      </w:r>
      <w:r w:rsidRPr="00155124">
        <w:rPr>
          <w:rFonts w:ascii="Times New Roman" w:hAnsi="Times New Roman" w:cs="Times New Roman"/>
          <w:sz w:val="20"/>
          <w:szCs w:val="20"/>
        </w:rPr>
        <w:t>surprising effects on hydroxyl radical formation during 222 nm UV treatment.</w:t>
      </w:r>
      <w:r>
        <w:rPr>
          <w:rFonts w:ascii="Times New Roman" w:hAnsi="Times New Roman" w:cs="Times New Roman"/>
          <w:sz w:val="20"/>
          <w:szCs w:val="20"/>
        </w:rPr>
        <w:t xml:space="preserve"> </w:t>
      </w:r>
      <w:r w:rsidRPr="00155124">
        <w:rPr>
          <w:rFonts w:ascii="Times New Roman" w:hAnsi="Times New Roman" w:cs="Times New Roman"/>
          <w:sz w:val="20"/>
          <w:szCs w:val="20"/>
        </w:rPr>
        <w:t>Water. Res., 123754</w:t>
      </w:r>
      <w:r w:rsidR="004520D3" w:rsidRPr="006779A3">
        <w:rPr>
          <w:rFonts w:ascii="Times New Roman" w:hAnsi="Times New Roman" w:cs="Times New Roman"/>
          <w:sz w:val="20"/>
          <w:szCs w:val="20"/>
        </w:rPr>
        <w:t>.</w:t>
      </w:r>
    </w:p>
    <w:p w14:paraId="5D85706C" w14:textId="705D7A89" w:rsidR="008B1659" w:rsidRPr="006779A3" w:rsidRDefault="004520D3" w:rsidP="006779A3">
      <w:pPr>
        <w:jc w:val="both"/>
        <w:rPr>
          <w:rFonts w:ascii="Times New Roman" w:hAnsi="Times New Roman" w:cs="Times New Roman"/>
          <w:sz w:val="20"/>
          <w:szCs w:val="20"/>
        </w:rPr>
      </w:pPr>
      <w:r w:rsidRPr="006779A3">
        <w:rPr>
          <w:rFonts w:ascii="Times New Roman" w:hAnsi="Times New Roman" w:cs="Times New Roman"/>
          <w:sz w:val="20"/>
          <w:szCs w:val="20"/>
        </w:rPr>
        <w:t xml:space="preserve">Zhang, X., Zhang, X., Li, H., Ao, X., Sun, W., Li, Z., 2024. Reactive oxygen species generated in situ during carbamazepine photodegradation at 222 nm far-UVC: unexpected role of H2_22​O molecules. Environ. Sci. Technol., </w:t>
      </w:r>
      <w:r w:rsidR="00155124">
        <w:rPr>
          <w:rFonts w:ascii="Times New Roman" w:hAnsi="Times New Roman" w:cs="Times New Roman"/>
          <w:sz w:val="20"/>
          <w:szCs w:val="20"/>
        </w:rPr>
        <w:t>58(42), 19070-19079</w:t>
      </w:r>
      <w:r w:rsidRPr="006779A3">
        <w:rPr>
          <w:rFonts w:ascii="Times New Roman" w:hAnsi="Times New Roman" w:cs="Times New Roman"/>
          <w:sz w:val="20"/>
          <w:szCs w:val="20"/>
        </w:rPr>
        <w:t>.</w:t>
      </w:r>
      <w:r w:rsidR="000B08DC">
        <w:rPr>
          <w:rFonts w:ascii="Times New Roman" w:hAnsi="Times New Roman" w:cs="Times New Roman"/>
          <w:sz w:val="20"/>
          <w:szCs w:val="20"/>
        </w:rPr>
        <w:t xml:space="preserve"> </w:t>
      </w:r>
    </w:p>
    <w:sectPr w:rsidR="008B1659" w:rsidRPr="006779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829"/>
    <w:rsid w:val="000B08DC"/>
    <w:rsid w:val="00155124"/>
    <w:rsid w:val="001D6274"/>
    <w:rsid w:val="00364829"/>
    <w:rsid w:val="004520D3"/>
    <w:rsid w:val="00454898"/>
    <w:rsid w:val="005F1F33"/>
    <w:rsid w:val="006779A3"/>
    <w:rsid w:val="008B1659"/>
    <w:rsid w:val="009D39C2"/>
    <w:rsid w:val="00AE5F85"/>
    <w:rsid w:val="00F64B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AC551"/>
  <w15:chartTrackingRefBased/>
  <w15:docId w15:val="{0129D121-762E-4A18-9790-554026005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3379916">
      <w:bodyDiv w:val="1"/>
      <w:marLeft w:val="0"/>
      <w:marRight w:val="0"/>
      <w:marTop w:val="0"/>
      <w:marBottom w:val="0"/>
      <w:divBdr>
        <w:top w:val="none" w:sz="0" w:space="0" w:color="auto"/>
        <w:left w:val="none" w:sz="0" w:space="0" w:color="auto"/>
        <w:bottom w:val="none" w:sz="0" w:space="0" w:color="auto"/>
        <w:right w:val="none" w:sz="0" w:space="0" w:color="auto"/>
      </w:divBdr>
      <w:divsChild>
        <w:div w:id="838426470">
          <w:marLeft w:val="0"/>
          <w:marRight w:val="0"/>
          <w:marTop w:val="0"/>
          <w:marBottom w:val="0"/>
          <w:divBdr>
            <w:top w:val="none" w:sz="0" w:space="0" w:color="auto"/>
            <w:left w:val="none" w:sz="0" w:space="0" w:color="auto"/>
            <w:bottom w:val="none" w:sz="0" w:space="0" w:color="auto"/>
            <w:right w:val="none" w:sz="0" w:space="0" w:color="auto"/>
          </w:divBdr>
        </w:div>
        <w:div w:id="2082678102">
          <w:marLeft w:val="0"/>
          <w:marRight w:val="0"/>
          <w:marTop w:val="0"/>
          <w:marBottom w:val="0"/>
          <w:divBdr>
            <w:top w:val="none" w:sz="0" w:space="0" w:color="auto"/>
            <w:left w:val="none" w:sz="0" w:space="0" w:color="auto"/>
            <w:bottom w:val="none" w:sz="0" w:space="0" w:color="auto"/>
            <w:right w:val="none" w:sz="0" w:space="0" w:color="auto"/>
          </w:divBdr>
        </w:div>
        <w:div w:id="1621955813">
          <w:marLeft w:val="0"/>
          <w:marRight w:val="0"/>
          <w:marTop w:val="0"/>
          <w:marBottom w:val="0"/>
          <w:divBdr>
            <w:top w:val="none" w:sz="0" w:space="0" w:color="auto"/>
            <w:left w:val="none" w:sz="0" w:space="0" w:color="auto"/>
            <w:bottom w:val="none" w:sz="0" w:space="0" w:color="auto"/>
            <w:right w:val="none" w:sz="0" w:space="0" w:color="auto"/>
          </w:divBdr>
        </w:div>
        <w:div w:id="495921298">
          <w:marLeft w:val="0"/>
          <w:marRight w:val="0"/>
          <w:marTop w:val="0"/>
          <w:marBottom w:val="0"/>
          <w:divBdr>
            <w:top w:val="none" w:sz="0" w:space="0" w:color="auto"/>
            <w:left w:val="none" w:sz="0" w:space="0" w:color="auto"/>
            <w:bottom w:val="none" w:sz="0" w:space="0" w:color="auto"/>
            <w:right w:val="none" w:sz="0" w:space="0" w:color="auto"/>
          </w:divBdr>
        </w:div>
        <w:div w:id="89857456">
          <w:marLeft w:val="0"/>
          <w:marRight w:val="0"/>
          <w:marTop w:val="0"/>
          <w:marBottom w:val="0"/>
          <w:divBdr>
            <w:top w:val="none" w:sz="0" w:space="0" w:color="auto"/>
            <w:left w:val="none" w:sz="0" w:space="0" w:color="auto"/>
            <w:bottom w:val="none" w:sz="0" w:space="0" w:color="auto"/>
            <w:right w:val="none" w:sz="0" w:space="0" w:color="auto"/>
          </w:divBdr>
        </w:div>
        <w:div w:id="1882593995">
          <w:marLeft w:val="0"/>
          <w:marRight w:val="0"/>
          <w:marTop w:val="0"/>
          <w:marBottom w:val="0"/>
          <w:divBdr>
            <w:top w:val="none" w:sz="0" w:space="0" w:color="auto"/>
            <w:left w:val="none" w:sz="0" w:space="0" w:color="auto"/>
            <w:bottom w:val="none" w:sz="0" w:space="0" w:color="auto"/>
            <w:right w:val="none" w:sz="0" w:space="0" w:color="auto"/>
          </w:divBdr>
        </w:div>
        <w:div w:id="1577469834">
          <w:marLeft w:val="0"/>
          <w:marRight w:val="0"/>
          <w:marTop w:val="0"/>
          <w:marBottom w:val="0"/>
          <w:divBdr>
            <w:top w:val="none" w:sz="0" w:space="0" w:color="auto"/>
            <w:left w:val="none" w:sz="0" w:space="0" w:color="auto"/>
            <w:bottom w:val="none" w:sz="0" w:space="0" w:color="auto"/>
            <w:right w:val="none" w:sz="0" w:space="0" w:color="auto"/>
          </w:divBdr>
        </w:div>
        <w:div w:id="423066035">
          <w:marLeft w:val="0"/>
          <w:marRight w:val="0"/>
          <w:marTop w:val="0"/>
          <w:marBottom w:val="0"/>
          <w:divBdr>
            <w:top w:val="none" w:sz="0" w:space="0" w:color="auto"/>
            <w:left w:val="none" w:sz="0" w:space="0" w:color="auto"/>
            <w:bottom w:val="none" w:sz="0" w:space="0" w:color="auto"/>
            <w:right w:val="none" w:sz="0" w:space="0" w:color="auto"/>
          </w:divBdr>
        </w:div>
        <w:div w:id="1276196">
          <w:marLeft w:val="0"/>
          <w:marRight w:val="0"/>
          <w:marTop w:val="0"/>
          <w:marBottom w:val="0"/>
          <w:divBdr>
            <w:top w:val="none" w:sz="0" w:space="0" w:color="auto"/>
            <w:left w:val="none" w:sz="0" w:space="0" w:color="auto"/>
            <w:bottom w:val="none" w:sz="0" w:space="0" w:color="auto"/>
            <w:right w:val="none" w:sz="0" w:space="0" w:color="auto"/>
          </w:divBdr>
        </w:div>
        <w:div w:id="343023097">
          <w:marLeft w:val="0"/>
          <w:marRight w:val="0"/>
          <w:marTop w:val="0"/>
          <w:marBottom w:val="0"/>
          <w:divBdr>
            <w:top w:val="none" w:sz="0" w:space="0" w:color="auto"/>
            <w:left w:val="none" w:sz="0" w:space="0" w:color="auto"/>
            <w:bottom w:val="none" w:sz="0" w:space="0" w:color="auto"/>
            <w:right w:val="none" w:sz="0" w:space="0" w:color="auto"/>
          </w:divBdr>
        </w:div>
        <w:div w:id="2031686015">
          <w:marLeft w:val="0"/>
          <w:marRight w:val="0"/>
          <w:marTop w:val="0"/>
          <w:marBottom w:val="0"/>
          <w:divBdr>
            <w:top w:val="none" w:sz="0" w:space="0" w:color="auto"/>
            <w:left w:val="none" w:sz="0" w:space="0" w:color="auto"/>
            <w:bottom w:val="none" w:sz="0" w:space="0" w:color="auto"/>
            <w:right w:val="none" w:sz="0" w:space="0" w:color="auto"/>
          </w:divBdr>
        </w:div>
        <w:div w:id="1317998343">
          <w:marLeft w:val="0"/>
          <w:marRight w:val="0"/>
          <w:marTop w:val="0"/>
          <w:marBottom w:val="0"/>
          <w:divBdr>
            <w:top w:val="none" w:sz="0" w:space="0" w:color="auto"/>
            <w:left w:val="none" w:sz="0" w:space="0" w:color="auto"/>
            <w:bottom w:val="none" w:sz="0" w:space="0" w:color="auto"/>
            <w:right w:val="none" w:sz="0" w:space="0" w:color="auto"/>
          </w:divBdr>
        </w:div>
        <w:div w:id="2073696331">
          <w:marLeft w:val="0"/>
          <w:marRight w:val="0"/>
          <w:marTop w:val="0"/>
          <w:marBottom w:val="0"/>
          <w:divBdr>
            <w:top w:val="none" w:sz="0" w:space="0" w:color="auto"/>
            <w:left w:val="none" w:sz="0" w:space="0" w:color="auto"/>
            <w:bottom w:val="none" w:sz="0" w:space="0" w:color="auto"/>
            <w:right w:val="none" w:sz="0" w:space="0" w:color="auto"/>
          </w:divBdr>
        </w:div>
        <w:div w:id="136265572">
          <w:marLeft w:val="0"/>
          <w:marRight w:val="0"/>
          <w:marTop w:val="0"/>
          <w:marBottom w:val="0"/>
          <w:divBdr>
            <w:top w:val="none" w:sz="0" w:space="0" w:color="auto"/>
            <w:left w:val="none" w:sz="0" w:space="0" w:color="auto"/>
            <w:bottom w:val="none" w:sz="0" w:space="0" w:color="auto"/>
            <w:right w:val="none" w:sz="0" w:space="0" w:color="auto"/>
          </w:divBdr>
        </w:div>
        <w:div w:id="1784613523">
          <w:marLeft w:val="0"/>
          <w:marRight w:val="0"/>
          <w:marTop w:val="0"/>
          <w:marBottom w:val="0"/>
          <w:divBdr>
            <w:top w:val="none" w:sz="0" w:space="0" w:color="auto"/>
            <w:left w:val="none" w:sz="0" w:space="0" w:color="auto"/>
            <w:bottom w:val="none" w:sz="0" w:space="0" w:color="auto"/>
            <w:right w:val="none" w:sz="0" w:space="0" w:color="auto"/>
          </w:divBdr>
        </w:div>
        <w:div w:id="1011103276">
          <w:marLeft w:val="0"/>
          <w:marRight w:val="0"/>
          <w:marTop w:val="0"/>
          <w:marBottom w:val="0"/>
          <w:divBdr>
            <w:top w:val="none" w:sz="0" w:space="0" w:color="auto"/>
            <w:left w:val="none" w:sz="0" w:space="0" w:color="auto"/>
            <w:bottom w:val="none" w:sz="0" w:space="0" w:color="auto"/>
            <w:right w:val="none" w:sz="0" w:space="0" w:color="auto"/>
          </w:divBdr>
        </w:div>
        <w:div w:id="1314795213">
          <w:marLeft w:val="0"/>
          <w:marRight w:val="0"/>
          <w:marTop w:val="0"/>
          <w:marBottom w:val="0"/>
          <w:divBdr>
            <w:top w:val="none" w:sz="0" w:space="0" w:color="auto"/>
            <w:left w:val="none" w:sz="0" w:space="0" w:color="auto"/>
            <w:bottom w:val="none" w:sz="0" w:space="0" w:color="auto"/>
            <w:right w:val="none" w:sz="0" w:space="0" w:color="auto"/>
          </w:divBdr>
        </w:div>
        <w:div w:id="1944192512">
          <w:marLeft w:val="0"/>
          <w:marRight w:val="0"/>
          <w:marTop w:val="0"/>
          <w:marBottom w:val="0"/>
          <w:divBdr>
            <w:top w:val="none" w:sz="0" w:space="0" w:color="auto"/>
            <w:left w:val="none" w:sz="0" w:space="0" w:color="auto"/>
            <w:bottom w:val="none" w:sz="0" w:space="0" w:color="auto"/>
            <w:right w:val="none" w:sz="0" w:space="0" w:color="auto"/>
          </w:divBdr>
        </w:div>
        <w:div w:id="1215508100">
          <w:marLeft w:val="0"/>
          <w:marRight w:val="0"/>
          <w:marTop w:val="0"/>
          <w:marBottom w:val="0"/>
          <w:divBdr>
            <w:top w:val="none" w:sz="0" w:space="0" w:color="auto"/>
            <w:left w:val="none" w:sz="0" w:space="0" w:color="auto"/>
            <w:bottom w:val="none" w:sz="0" w:space="0" w:color="auto"/>
            <w:right w:val="none" w:sz="0" w:space="0" w:color="auto"/>
          </w:divBdr>
        </w:div>
        <w:div w:id="593633564">
          <w:marLeft w:val="0"/>
          <w:marRight w:val="0"/>
          <w:marTop w:val="0"/>
          <w:marBottom w:val="0"/>
          <w:divBdr>
            <w:top w:val="none" w:sz="0" w:space="0" w:color="auto"/>
            <w:left w:val="none" w:sz="0" w:space="0" w:color="auto"/>
            <w:bottom w:val="none" w:sz="0" w:space="0" w:color="auto"/>
            <w:right w:val="none" w:sz="0" w:space="0" w:color="auto"/>
          </w:divBdr>
        </w:div>
        <w:div w:id="1231110080">
          <w:marLeft w:val="0"/>
          <w:marRight w:val="0"/>
          <w:marTop w:val="0"/>
          <w:marBottom w:val="0"/>
          <w:divBdr>
            <w:top w:val="none" w:sz="0" w:space="0" w:color="auto"/>
            <w:left w:val="none" w:sz="0" w:space="0" w:color="auto"/>
            <w:bottom w:val="none" w:sz="0" w:space="0" w:color="auto"/>
            <w:right w:val="none" w:sz="0" w:space="0" w:color="auto"/>
          </w:divBdr>
        </w:div>
        <w:div w:id="1084230444">
          <w:marLeft w:val="0"/>
          <w:marRight w:val="0"/>
          <w:marTop w:val="0"/>
          <w:marBottom w:val="0"/>
          <w:divBdr>
            <w:top w:val="none" w:sz="0" w:space="0" w:color="auto"/>
            <w:left w:val="none" w:sz="0" w:space="0" w:color="auto"/>
            <w:bottom w:val="none" w:sz="0" w:space="0" w:color="auto"/>
            <w:right w:val="none" w:sz="0" w:space="0" w:color="auto"/>
          </w:divBdr>
        </w:div>
        <w:div w:id="625621766">
          <w:marLeft w:val="0"/>
          <w:marRight w:val="0"/>
          <w:marTop w:val="0"/>
          <w:marBottom w:val="0"/>
          <w:divBdr>
            <w:top w:val="none" w:sz="0" w:space="0" w:color="auto"/>
            <w:left w:val="none" w:sz="0" w:space="0" w:color="auto"/>
            <w:bottom w:val="none" w:sz="0" w:space="0" w:color="auto"/>
            <w:right w:val="none" w:sz="0" w:space="0" w:color="auto"/>
          </w:divBdr>
        </w:div>
        <w:div w:id="26177383">
          <w:marLeft w:val="0"/>
          <w:marRight w:val="0"/>
          <w:marTop w:val="0"/>
          <w:marBottom w:val="0"/>
          <w:divBdr>
            <w:top w:val="none" w:sz="0" w:space="0" w:color="auto"/>
            <w:left w:val="none" w:sz="0" w:space="0" w:color="auto"/>
            <w:bottom w:val="none" w:sz="0" w:space="0" w:color="auto"/>
            <w:right w:val="none" w:sz="0" w:space="0" w:color="auto"/>
          </w:divBdr>
        </w:div>
        <w:div w:id="1841315393">
          <w:marLeft w:val="0"/>
          <w:marRight w:val="0"/>
          <w:marTop w:val="0"/>
          <w:marBottom w:val="0"/>
          <w:divBdr>
            <w:top w:val="none" w:sz="0" w:space="0" w:color="auto"/>
            <w:left w:val="none" w:sz="0" w:space="0" w:color="auto"/>
            <w:bottom w:val="none" w:sz="0" w:space="0" w:color="auto"/>
            <w:right w:val="none" w:sz="0" w:space="0" w:color="auto"/>
          </w:divBdr>
        </w:div>
        <w:div w:id="1671827693">
          <w:marLeft w:val="0"/>
          <w:marRight w:val="0"/>
          <w:marTop w:val="0"/>
          <w:marBottom w:val="0"/>
          <w:divBdr>
            <w:top w:val="none" w:sz="0" w:space="0" w:color="auto"/>
            <w:left w:val="none" w:sz="0" w:space="0" w:color="auto"/>
            <w:bottom w:val="none" w:sz="0" w:space="0" w:color="auto"/>
            <w:right w:val="none" w:sz="0" w:space="0" w:color="auto"/>
          </w:divBdr>
        </w:div>
        <w:div w:id="1940259199">
          <w:marLeft w:val="0"/>
          <w:marRight w:val="0"/>
          <w:marTop w:val="0"/>
          <w:marBottom w:val="0"/>
          <w:divBdr>
            <w:top w:val="none" w:sz="0" w:space="0" w:color="auto"/>
            <w:left w:val="none" w:sz="0" w:space="0" w:color="auto"/>
            <w:bottom w:val="none" w:sz="0" w:space="0" w:color="auto"/>
            <w:right w:val="none" w:sz="0" w:space="0" w:color="auto"/>
          </w:divBdr>
        </w:div>
        <w:div w:id="1780907644">
          <w:marLeft w:val="0"/>
          <w:marRight w:val="0"/>
          <w:marTop w:val="0"/>
          <w:marBottom w:val="0"/>
          <w:divBdr>
            <w:top w:val="none" w:sz="0" w:space="0" w:color="auto"/>
            <w:left w:val="none" w:sz="0" w:space="0" w:color="auto"/>
            <w:bottom w:val="none" w:sz="0" w:space="0" w:color="auto"/>
            <w:right w:val="none" w:sz="0" w:space="0" w:color="auto"/>
          </w:divBdr>
        </w:div>
        <w:div w:id="2004164160">
          <w:marLeft w:val="0"/>
          <w:marRight w:val="0"/>
          <w:marTop w:val="0"/>
          <w:marBottom w:val="0"/>
          <w:divBdr>
            <w:top w:val="none" w:sz="0" w:space="0" w:color="auto"/>
            <w:left w:val="none" w:sz="0" w:space="0" w:color="auto"/>
            <w:bottom w:val="none" w:sz="0" w:space="0" w:color="auto"/>
            <w:right w:val="none" w:sz="0" w:space="0" w:color="auto"/>
          </w:divBdr>
        </w:div>
        <w:div w:id="553321492">
          <w:marLeft w:val="0"/>
          <w:marRight w:val="0"/>
          <w:marTop w:val="0"/>
          <w:marBottom w:val="0"/>
          <w:divBdr>
            <w:top w:val="none" w:sz="0" w:space="0" w:color="auto"/>
            <w:left w:val="none" w:sz="0" w:space="0" w:color="auto"/>
            <w:bottom w:val="none" w:sz="0" w:space="0" w:color="auto"/>
            <w:right w:val="none" w:sz="0" w:space="0" w:color="auto"/>
          </w:divBdr>
        </w:div>
        <w:div w:id="226495065">
          <w:marLeft w:val="0"/>
          <w:marRight w:val="0"/>
          <w:marTop w:val="0"/>
          <w:marBottom w:val="0"/>
          <w:divBdr>
            <w:top w:val="none" w:sz="0" w:space="0" w:color="auto"/>
            <w:left w:val="none" w:sz="0" w:space="0" w:color="auto"/>
            <w:bottom w:val="none" w:sz="0" w:space="0" w:color="auto"/>
            <w:right w:val="none" w:sz="0" w:space="0" w:color="auto"/>
          </w:divBdr>
        </w:div>
        <w:div w:id="1986816423">
          <w:marLeft w:val="0"/>
          <w:marRight w:val="0"/>
          <w:marTop w:val="0"/>
          <w:marBottom w:val="0"/>
          <w:divBdr>
            <w:top w:val="none" w:sz="0" w:space="0" w:color="auto"/>
            <w:left w:val="none" w:sz="0" w:space="0" w:color="auto"/>
            <w:bottom w:val="none" w:sz="0" w:space="0" w:color="auto"/>
            <w:right w:val="none" w:sz="0" w:space="0" w:color="auto"/>
          </w:divBdr>
        </w:div>
        <w:div w:id="1315912965">
          <w:marLeft w:val="0"/>
          <w:marRight w:val="0"/>
          <w:marTop w:val="0"/>
          <w:marBottom w:val="0"/>
          <w:divBdr>
            <w:top w:val="none" w:sz="0" w:space="0" w:color="auto"/>
            <w:left w:val="none" w:sz="0" w:space="0" w:color="auto"/>
            <w:bottom w:val="none" w:sz="0" w:space="0" w:color="auto"/>
            <w:right w:val="none" w:sz="0" w:space="0" w:color="auto"/>
          </w:divBdr>
        </w:div>
        <w:div w:id="321348206">
          <w:marLeft w:val="0"/>
          <w:marRight w:val="0"/>
          <w:marTop w:val="0"/>
          <w:marBottom w:val="0"/>
          <w:divBdr>
            <w:top w:val="none" w:sz="0" w:space="0" w:color="auto"/>
            <w:left w:val="none" w:sz="0" w:space="0" w:color="auto"/>
            <w:bottom w:val="none" w:sz="0" w:space="0" w:color="auto"/>
            <w:right w:val="none" w:sz="0" w:space="0" w:color="auto"/>
          </w:divBdr>
        </w:div>
        <w:div w:id="12558237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2</Pages>
  <Words>805</Words>
  <Characters>4590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Duan, Xiaodi (duanxd)</dc:creator>
  <cp:keywords/>
  <dc:description/>
  <cp:lastModifiedBy>Duan, Xiaodi (duanxd)</cp:lastModifiedBy>
  <cp:revision>4</cp:revision>
  <dcterms:created xsi:type="dcterms:W3CDTF">2026-02-14T11:03:00Z</dcterms:created>
  <dcterms:modified xsi:type="dcterms:W3CDTF">2026-02-14T13:14:00Z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32cdb656-e18c-4c2c-baa9-a45fa0830214</vt:lpwstr>
  </property>
</Properties>
</file>