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339D0" w14:textId="7F97B4DB" w:rsidR="00163D6E" w:rsidRPr="005173C1" w:rsidRDefault="00952A04" w:rsidP="00423F5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jc w:val="center"/>
        <w:outlineLvl w:val="0"/>
        <w:rPr>
          <w:rFonts w:ascii="Helvetica" w:hAnsi="Helvetica" w:cs="Helvetica"/>
          <w:color w:val="000000"/>
          <w:kern w:val="36"/>
          <w:sz w:val="28"/>
          <w:szCs w:val="28"/>
        </w:rPr>
      </w:pPr>
      <w:r w:rsidRPr="005173C1">
        <w:rPr>
          <w:rFonts w:ascii="Helvetica" w:hAnsi="Helvetica" w:cs="Helvetica"/>
          <w:color w:val="000000"/>
          <w:kern w:val="36"/>
          <w:sz w:val="28"/>
          <w:szCs w:val="28"/>
          <w:lang w:val="en-GB" w:eastAsia="en-US"/>
        </w:rPr>
        <w:t xml:space="preserve">Mechanistic modeling and optimization of solar chlor-photo-Fenton for wastewater reclamation </w:t>
      </w:r>
      <w:r w:rsidR="00C31242" w:rsidRPr="005173C1">
        <w:rPr>
          <w:rFonts w:ascii="Helvetica" w:hAnsi="Helvetica" w:cs="Helvetica"/>
          <w:color w:val="000000"/>
          <w:kern w:val="36"/>
          <w:sz w:val="28"/>
          <w:szCs w:val="28"/>
          <w:lang w:val="en-GB" w:eastAsia="en-US"/>
        </w:rPr>
        <w:t>with</w:t>
      </w:r>
      <w:r w:rsidR="00FC1E37" w:rsidRPr="005173C1">
        <w:rPr>
          <w:rFonts w:ascii="Helvetica" w:hAnsi="Helvetica" w:cs="Helvetica"/>
          <w:color w:val="000000"/>
          <w:kern w:val="36"/>
          <w:sz w:val="28"/>
          <w:szCs w:val="28"/>
          <w:lang w:val="en-GB" w:eastAsia="en-US"/>
        </w:rPr>
        <w:t xml:space="preserve"> disinfection by-product mitigation</w:t>
      </w:r>
    </w:p>
    <w:p w14:paraId="596DDF0A" w14:textId="6FD88749" w:rsidR="00163D6E" w:rsidRPr="00833CCA" w:rsidRDefault="00952A04">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60" w:lineRule="auto"/>
        <w:jc w:val="center"/>
        <w:rPr>
          <w:rFonts w:ascii="Arial" w:hAnsi="Arial" w:cs="Arial"/>
          <w:kern w:val="0"/>
          <w:sz w:val="18"/>
          <w:szCs w:val="18"/>
          <w:lang w:val="es-ES"/>
        </w:rPr>
      </w:pPr>
      <w:r w:rsidRPr="00833CCA">
        <w:rPr>
          <w:rFonts w:ascii="Arial" w:eastAsia="DengXian" w:hAnsi="Arial" w:cs="Arial"/>
          <w:b/>
          <w:kern w:val="0"/>
          <w:sz w:val="18"/>
          <w:szCs w:val="18"/>
          <w:lang w:val="es-ES"/>
        </w:rPr>
        <w:t>P</w:t>
      </w:r>
      <w:r w:rsidR="00056277">
        <w:rPr>
          <w:rFonts w:ascii="Arial" w:eastAsia="DengXian" w:hAnsi="Arial" w:cs="Arial"/>
          <w:b/>
          <w:kern w:val="0"/>
          <w:sz w:val="18"/>
          <w:szCs w:val="18"/>
          <w:lang w:val="es-ES"/>
        </w:rPr>
        <w:t xml:space="preserve">. </w:t>
      </w:r>
      <w:r w:rsidRPr="00833CCA">
        <w:rPr>
          <w:rFonts w:ascii="Arial" w:eastAsia="DengXian" w:hAnsi="Arial" w:cs="Arial"/>
          <w:b/>
          <w:kern w:val="0"/>
          <w:sz w:val="18"/>
          <w:szCs w:val="18"/>
          <w:lang w:val="es-ES"/>
        </w:rPr>
        <w:t>S</w:t>
      </w:r>
      <w:r w:rsidR="00056277">
        <w:rPr>
          <w:rFonts w:ascii="Arial" w:eastAsia="DengXian" w:hAnsi="Arial" w:cs="Arial"/>
          <w:b/>
          <w:kern w:val="0"/>
          <w:sz w:val="18"/>
          <w:szCs w:val="18"/>
          <w:lang w:val="es-ES"/>
        </w:rPr>
        <w:t>oriano-</w:t>
      </w:r>
      <w:r w:rsidRPr="00833CCA">
        <w:rPr>
          <w:rFonts w:ascii="Arial" w:eastAsia="DengXian" w:hAnsi="Arial" w:cs="Arial"/>
          <w:b/>
          <w:kern w:val="0"/>
          <w:sz w:val="18"/>
          <w:szCs w:val="18"/>
          <w:lang w:val="es-ES"/>
        </w:rPr>
        <w:t>Molina</w:t>
      </w:r>
      <w:r w:rsidR="00163D6E" w:rsidRPr="00833CCA">
        <w:rPr>
          <w:rFonts w:ascii="Arial" w:eastAsia="Times New Roman" w:hAnsi="Arial" w:cs="Arial"/>
          <w:b/>
          <w:kern w:val="0"/>
          <w:sz w:val="18"/>
          <w:szCs w:val="18"/>
          <w:vertAlign w:val="superscript"/>
          <w:lang w:val="es-ES" w:eastAsia="en-US"/>
        </w:rPr>
        <w:t>1</w:t>
      </w:r>
      <w:r w:rsidR="00001629">
        <w:rPr>
          <w:rFonts w:ascii="Arial" w:hAnsi="Arial" w:cs="Arial"/>
          <w:b/>
          <w:kern w:val="0"/>
          <w:sz w:val="18"/>
          <w:szCs w:val="18"/>
          <w:vertAlign w:val="superscript"/>
          <w:lang w:val="es-ES"/>
        </w:rPr>
        <w:t>,</w:t>
      </w:r>
      <w:r w:rsidR="00056277">
        <w:rPr>
          <w:rFonts w:ascii="Arial" w:hAnsi="Arial" w:cs="Arial"/>
          <w:b/>
          <w:kern w:val="0"/>
          <w:sz w:val="18"/>
          <w:szCs w:val="18"/>
          <w:vertAlign w:val="superscript"/>
          <w:lang w:val="es-ES"/>
        </w:rPr>
        <w:t xml:space="preserve"> </w:t>
      </w:r>
      <w:r w:rsidR="00833CCA" w:rsidRPr="00833CCA">
        <w:rPr>
          <w:rFonts w:ascii="Arial" w:hAnsi="Arial" w:cs="Arial"/>
          <w:b/>
          <w:kern w:val="0"/>
          <w:sz w:val="18"/>
          <w:szCs w:val="18"/>
          <w:vertAlign w:val="superscript"/>
          <w:lang w:val="es-ES"/>
        </w:rPr>
        <w:t>*</w:t>
      </w:r>
      <w:r w:rsidR="00163D6E" w:rsidRPr="00833CCA">
        <w:rPr>
          <w:rFonts w:ascii="Arial" w:eastAsia="Times New Roman" w:hAnsi="Arial" w:cs="Arial"/>
          <w:b/>
          <w:kern w:val="0"/>
          <w:sz w:val="18"/>
          <w:szCs w:val="18"/>
          <w:lang w:val="es-ES" w:eastAsia="en-US"/>
        </w:rPr>
        <w:t xml:space="preserve">, </w:t>
      </w:r>
      <w:r w:rsidRPr="00833CCA">
        <w:rPr>
          <w:rFonts w:ascii="Arial" w:eastAsia="DengXian" w:hAnsi="Arial" w:cs="Arial"/>
          <w:b/>
          <w:kern w:val="0"/>
          <w:sz w:val="18"/>
          <w:szCs w:val="18"/>
          <w:lang w:val="es-ES"/>
        </w:rPr>
        <w:t>L</w:t>
      </w:r>
      <w:r w:rsidR="00056277">
        <w:rPr>
          <w:rFonts w:ascii="Arial" w:eastAsia="DengXian" w:hAnsi="Arial" w:cs="Arial"/>
          <w:b/>
          <w:kern w:val="0"/>
          <w:sz w:val="18"/>
          <w:szCs w:val="18"/>
          <w:lang w:val="es-ES"/>
        </w:rPr>
        <w:t>.</w:t>
      </w:r>
      <w:r w:rsidRPr="00833CCA">
        <w:rPr>
          <w:rFonts w:ascii="Arial" w:eastAsia="DengXian" w:hAnsi="Arial" w:cs="Arial"/>
          <w:b/>
          <w:kern w:val="0"/>
          <w:sz w:val="18"/>
          <w:szCs w:val="18"/>
          <w:lang w:val="es-ES"/>
        </w:rPr>
        <w:t xml:space="preserve"> N</w:t>
      </w:r>
      <w:r w:rsidR="00056277">
        <w:rPr>
          <w:rFonts w:ascii="Arial" w:eastAsia="DengXian" w:hAnsi="Arial" w:cs="Arial"/>
          <w:b/>
          <w:kern w:val="0"/>
          <w:sz w:val="18"/>
          <w:szCs w:val="18"/>
          <w:lang w:val="es-ES"/>
        </w:rPr>
        <w:t>ofuentes-</w:t>
      </w:r>
      <w:r w:rsidRPr="00833CCA">
        <w:rPr>
          <w:rFonts w:ascii="Arial" w:eastAsia="DengXian" w:hAnsi="Arial" w:cs="Arial"/>
          <w:b/>
          <w:kern w:val="0"/>
          <w:sz w:val="18"/>
          <w:szCs w:val="18"/>
          <w:lang w:val="es-ES"/>
        </w:rPr>
        <w:t>Gómez</w:t>
      </w:r>
      <w:r w:rsidRPr="00833CCA">
        <w:rPr>
          <w:rFonts w:ascii="Arial" w:eastAsia="Times New Roman" w:hAnsi="Arial" w:cs="Arial"/>
          <w:b/>
          <w:kern w:val="0"/>
          <w:sz w:val="18"/>
          <w:szCs w:val="18"/>
          <w:vertAlign w:val="superscript"/>
          <w:lang w:val="es-ES" w:eastAsia="en-US"/>
        </w:rPr>
        <w:t>1</w:t>
      </w:r>
      <w:r w:rsidRPr="00833CCA">
        <w:rPr>
          <w:rFonts w:ascii="Arial" w:eastAsia="Times New Roman" w:hAnsi="Arial" w:cs="Arial"/>
          <w:b/>
          <w:kern w:val="0"/>
          <w:sz w:val="18"/>
          <w:szCs w:val="18"/>
          <w:lang w:val="es-ES" w:eastAsia="en-US"/>
        </w:rPr>
        <w:t xml:space="preserve">, </w:t>
      </w:r>
      <w:r w:rsidRPr="00833CCA">
        <w:rPr>
          <w:rFonts w:ascii="Arial" w:eastAsia="DengXian" w:hAnsi="Arial" w:cs="Arial"/>
          <w:b/>
          <w:kern w:val="0"/>
          <w:sz w:val="18"/>
          <w:szCs w:val="18"/>
          <w:lang w:val="es-ES"/>
        </w:rPr>
        <w:t>D</w:t>
      </w:r>
      <w:r w:rsidR="00056277">
        <w:rPr>
          <w:rFonts w:ascii="Arial" w:eastAsia="DengXian" w:hAnsi="Arial" w:cs="Arial"/>
          <w:b/>
          <w:kern w:val="0"/>
          <w:sz w:val="18"/>
          <w:szCs w:val="18"/>
          <w:lang w:val="es-ES"/>
        </w:rPr>
        <w:t>.</w:t>
      </w:r>
      <w:r w:rsidRPr="00833CCA">
        <w:rPr>
          <w:rFonts w:ascii="Arial" w:eastAsia="DengXian" w:hAnsi="Arial" w:cs="Arial"/>
          <w:b/>
          <w:kern w:val="0"/>
          <w:sz w:val="18"/>
          <w:szCs w:val="18"/>
          <w:lang w:val="es-ES"/>
        </w:rPr>
        <w:t xml:space="preserve"> R</w:t>
      </w:r>
      <w:r w:rsidR="00056277">
        <w:rPr>
          <w:rFonts w:ascii="Arial" w:eastAsia="DengXian" w:hAnsi="Arial" w:cs="Arial"/>
          <w:b/>
          <w:kern w:val="0"/>
          <w:sz w:val="18"/>
          <w:szCs w:val="18"/>
          <w:lang w:val="es-ES"/>
        </w:rPr>
        <w:t>odríguez-</w:t>
      </w:r>
      <w:r w:rsidRPr="00833CCA">
        <w:rPr>
          <w:rFonts w:ascii="Arial" w:eastAsia="DengXian" w:hAnsi="Arial" w:cs="Arial"/>
          <w:b/>
          <w:kern w:val="0"/>
          <w:sz w:val="18"/>
          <w:szCs w:val="18"/>
          <w:lang w:val="es-ES"/>
        </w:rPr>
        <w:t>García</w:t>
      </w:r>
      <w:r w:rsidRPr="00833CCA">
        <w:rPr>
          <w:rFonts w:ascii="Arial" w:eastAsia="Times New Roman" w:hAnsi="Arial" w:cs="Arial"/>
          <w:b/>
          <w:kern w:val="0"/>
          <w:sz w:val="18"/>
          <w:szCs w:val="18"/>
          <w:vertAlign w:val="superscript"/>
          <w:lang w:val="es-ES" w:eastAsia="en-US"/>
        </w:rPr>
        <w:t>1</w:t>
      </w:r>
      <w:r w:rsidRPr="00833CCA">
        <w:rPr>
          <w:rFonts w:ascii="Arial" w:eastAsia="Times New Roman" w:hAnsi="Arial" w:cs="Arial"/>
          <w:b/>
          <w:kern w:val="0"/>
          <w:sz w:val="18"/>
          <w:szCs w:val="18"/>
          <w:lang w:val="es-ES" w:eastAsia="en-US"/>
        </w:rPr>
        <w:t xml:space="preserve">, </w:t>
      </w:r>
      <w:r w:rsidRPr="00833CCA">
        <w:rPr>
          <w:rFonts w:ascii="Arial" w:eastAsia="DengXian" w:hAnsi="Arial" w:cs="Arial"/>
          <w:b/>
          <w:kern w:val="0"/>
          <w:sz w:val="18"/>
          <w:szCs w:val="18"/>
          <w:lang w:val="es-ES"/>
        </w:rPr>
        <w:t>S</w:t>
      </w:r>
      <w:r w:rsidR="00056277">
        <w:rPr>
          <w:rFonts w:ascii="Arial" w:eastAsia="DengXian" w:hAnsi="Arial" w:cs="Arial"/>
          <w:b/>
          <w:kern w:val="0"/>
          <w:sz w:val="18"/>
          <w:szCs w:val="18"/>
          <w:lang w:val="es-ES"/>
        </w:rPr>
        <w:t>.</w:t>
      </w:r>
      <w:r w:rsidRPr="00833CCA">
        <w:rPr>
          <w:rFonts w:ascii="Arial" w:eastAsia="DengXian" w:hAnsi="Arial" w:cs="Arial"/>
          <w:b/>
          <w:kern w:val="0"/>
          <w:sz w:val="18"/>
          <w:szCs w:val="18"/>
          <w:lang w:val="es-ES"/>
        </w:rPr>
        <w:t xml:space="preserve"> B</w:t>
      </w:r>
      <w:r w:rsidR="00056277">
        <w:rPr>
          <w:rFonts w:ascii="Arial" w:eastAsia="DengXian" w:hAnsi="Arial" w:cs="Arial"/>
          <w:b/>
          <w:kern w:val="0"/>
          <w:sz w:val="18"/>
          <w:szCs w:val="18"/>
          <w:lang w:val="es-ES"/>
        </w:rPr>
        <w:t>elachqer-</w:t>
      </w:r>
      <w:r w:rsidRPr="00833CCA">
        <w:rPr>
          <w:rFonts w:ascii="Arial" w:eastAsia="DengXian" w:hAnsi="Arial" w:cs="Arial"/>
          <w:b/>
          <w:kern w:val="0"/>
          <w:sz w:val="18"/>
          <w:szCs w:val="18"/>
          <w:lang w:val="es-ES"/>
        </w:rPr>
        <w:t>El</w:t>
      </w:r>
      <w:r w:rsidR="00DE6840">
        <w:rPr>
          <w:rFonts w:ascii="Arial" w:eastAsia="DengXian" w:hAnsi="Arial" w:cs="Arial"/>
          <w:b/>
          <w:kern w:val="0"/>
          <w:sz w:val="18"/>
          <w:szCs w:val="18"/>
          <w:lang w:val="es-ES"/>
        </w:rPr>
        <w:t xml:space="preserve"> </w:t>
      </w:r>
      <w:r w:rsidRPr="00833CCA">
        <w:rPr>
          <w:rFonts w:ascii="Arial" w:eastAsia="DengXian" w:hAnsi="Arial" w:cs="Arial"/>
          <w:b/>
          <w:kern w:val="0"/>
          <w:sz w:val="18"/>
          <w:szCs w:val="18"/>
          <w:lang w:val="es-ES"/>
        </w:rPr>
        <w:t>Attar</w:t>
      </w:r>
      <w:r w:rsidRPr="00833CCA">
        <w:rPr>
          <w:rFonts w:ascii="Arial" w:eastAsia="Times New Roman" w:hAnsi="Arial" w:cs="Arial"/>
          <w:b/>
          <w:kern w:val="0"/>
          <w:sz w:val="18"/>
          <w:szCs w:val="18"/>
          <w:vertAlign w:val="superscript"/>
          <w:lang w:val="es-ES" w:eastAsia="en-US"/>
        </w:rPr>
        <w:t>1</w:t>
      </w:r>
      <w:r w:rsidRPr="00833CCA">
        <w:rPr>
          <w:rFonts w:ascii="Arial" w:eastAsia="Times New Roman" w:hAnsi="Arial" w:cs="Arial"/>
          <w:b/>
          <w:kern w:val="0"/>
          <w:sz w:val="18"/>
          <w:szCs w:val="18"/>
          <w:lang w:val="es-ES" w:eastAsia="en-US"/>
        </w:rPr>
        <w:t xml:space="preserve">, </w:t>
      </w:r>
      <w:r w:rsidR="00056277">
        <w:rPr>
          <w:rFonts w:ascii="Arial" w:eastAsia="Times New Roman" w:hAnsi="Arial" w:cs="Arial"/>
          <w:b/>
          <w:kern w:val="0"/>
          <w:sz w:val="18"/>
          <w:szCs w:val="18"/>
          <w:lang w:val="es-ES" w:eastAsia="en-US"/>
        </w:rPr>
        <w:t>J. L. García Sánchez</w:t>
      </w:r>
      <w:r w:rsidR="00056277" w:rsidRPr="00833CCA">
        <w:rPr>
          <w:rFonts w:ascii="Arial" w:eastAsia="Times New Roman" w:hAnsi="Arial" w:cs="Arial"/>
          <w:b/>
          <w:kern w:val="0"/>
          <w:sz w:val="18"/>
          <w:szCs w:val="18"/>
          <w:vertAlign w:val="superscript"/>
          <w:lang w:val="es-ES" w:eastAsia="en-US"/>
        </w:rPr>
        <w:t>1</w:t>
      </w:r>
      <w:r w:rsidR="00056277">
        <w:rPr>
          <w:rFonts w:ascii="Arial" w:eastAsia="Times New Roman" w:hAnsi="Arial" w:cs="Arial"/>
          <w:b/>
          <w:kern w:val="0"/>
          <w:sz w:val="18"/>
          <w:szCs w:val="18"/>
          <w:lang w:val="es-ES" w:eastAsia="en-US"/>
        </w:rPr>
        <w:t xml:space="preserve">, </w:t>
      </w:r>
      <w:r w:rsidR="00833CCA" w:rsidRPr="00833CCA">
        <w:rPr>
          <w:rFonts w:ascii="Arial" w:eastAsia="DengXian" w:hAnsi="Arial" w:cs="Arial"/>
          <w:b/>
          <w:kern w:val="0"/>
          <w:sz w:val="18"/>
          <w:szCs w:val="18"/>
          <w:lang w:val="es-ES"/>
        </w:rPr>
        <w:t>J</w:t>
      </w:r>
      <w:r w:rsidR="00056277">
        <w:rPr>
          <w:rFonts w:ascii="Arial" w:eastAsia="DengXian" w:hAnsi="Arial" w:cs="Arial"/>
          <w:b/>
          <w:kern w:val="0"/>
          <w:sz w:val="18"/>
          <w:szCs w:val="18"/>
          <w:lang w:val="es-ES"/>
        </w:rPr>
        <w:t>.</w:t>
      </w:r>
      <w:r w:rsidR="00833CCA" w:rsidRPr="00833CCA">
        <w:rPr>
          <w:rFonts w:ascii="Arial" w:eastAsia="DengXian" w:hAnsi="Arial" w:cs="Arial"/>
          <w:b/>
          <w:kern w:val="0"/>
          <w:sz w:val="18"/>
          <w:szCs w:val="18"/>
          <w:lang w:val="es-ES"/>
        </w:rPr>
        <w:t xml:space="preserve"> L</w:t>
      </w:r>
      <w:r w:rsidR="00056277">
        <w:rPr>
          <w:rFonts w:ascii="Arial" w:eastAsia="DengXian" w:hAnsi="Arial" w:cs="Arial"/>
          <w:b/>
          <w:kern w:val="0"/>
          <w:sz w:val="18"/>
          <w:szCs w:val="18"/>
          <w:lang w:val="es-ES"/>
        </w:rPr>
        <w:t>.</w:t>
      </w:r>
      <w:r w:rsidR="00833CCA" w:rsidRPr="00833CCA">
        <w:rPr>
          <w:rFonts w:ascii="Arial" w:eastAsia="DengXian" w:hAnsi="Arial" w:cs="Arial"/>
          <w:b/>
          <w:kern w:val="0"/>
          <w:sz w:val="18"/>
          <w:szCs w:val="18"/>
          <w:lang w:val="es-ES"/>
        </w:rPr>
        <w:t xml:space="preserve"> C</w:t>
      </w:r>
      <w:r w:rsidR="00056277">
        <w:rPr>
          <w:rFonts w:ascii="Arial" w:eastAsia="DengXian" w:hAnsi="Arial" w:cs="Arial"/>
          <w:b/>
          <w:kern w:val="0"/>
          <w:sz w:val="18"/>
          <w:szCs w:val="18"/>
          <w:lang w:val="es-ES"/>
        </w:rPr>
        <w:t>asas</w:t>
      </w:r>
      <w:r w:rsidR="00833CCA" w:rsidRPr="00833CCA">
        <w:rPr>
          <w:rFonts w:ascii="Arial" w:eastAsia="DengXian" w:hAnsi="Arial" w:cs="Arial"/>
          <w:b/>
          <w:kern w:val="0"/>
          <w:sz w:val="18"/>
          <w:szCs w:val="18"/>
          <w:lang w:val="es-ES"/>
        </w:rPr>
        <w:t xml:space="preserve"> López</w:t>
      </w:r>
      <w:r w:rsidR="00833CCA" w:rsidRPr="00833CCA">
        <w:rPr>
          <w:rFonts w:ascii="Arial" w:eastAsia="Times New Roman" w:hAnsi="Arial" w:cs="Arial"/>
          <w:b/>
          <w:kern w:val="0"/>
          <w:sz w:val="18"/>
          <w:szCs w:val="18"/>
          <w:vertAlign w:val="superscript"/>
          <w:lang w:val="es-ES" w:eastAsia="en-US"/>
        </w:rPr>
        <w:t>1</w:t>
      </w:r>
      <w:r w:rsidR="00833CCA" w:rsidRPr="00833CCA">
        <w:rPr>
          <w:rFonts w:ascii="Arial" w:eastAsia="DengXian" w:hAnsi="Arial" w:cs="Arial"/>
          <w:b/>
          <w:kern w:val="0"/>
          <w:sz w:val="18"/>
          <w:szCs w:val="18"/>
          <w:lang w:val="es-ES"/>
        </w:rPr>
        <w:t>, J</w:t>
      </w:r>
      <w:r w:rsidR="00056277">
        <w:rPr>
          <w:rFonts w:ascii="Arial" w:eastAsia="DengXian" w:hAnsi="Arial" w:cs="Arial"/>
          <w:b/>
          <w:kern w:val="0"/>
          <w:sz w:val="18"/>
          <w:szCs w:val="18"/>
          <w:lang w:val="es-ES"/>
        </w:rPr>
        <w:t>.</w:t>
      </w:r>
      <w:r w:rsidR="00833CCA" w:rsidRPr="00833CCA">
        <w:rPr>
          <w:rFonts w:ascii="Arial" w:eastAsia="DengXian" w:hAnsi="Arial" w:cs="Arial"/>
          <w:b/>
          <w:kern w:val="0"/>
          <w:sz w:val="18"/>
          <w:szCs w:val="18"/>
          <w:lang w:val="es-ES"/>
        </w:rPr>
        <w:t xml:space="preserve"> A</w:t>
      </w:r>
      <w:r w:rsidR="00056277">
        <w:rPr>
          <w:rFonts w:ascii="Arial" w:eastAsia="DengXian" w:hAnsi="Arial" w:cs="Arial"/>
          <w:b/>
          <w:kern w:val="0"/>
          <w:sz w:val="18"/>
          <w:szCs w:val="18"/>
          <w:lang w:val="es-ES"/>
        </w:rPr>
        <w:t>.</w:t>
      </w:r>
      <w:r w:rsidR="00833CCA" w:rsidRPr="00833CCA">
        <w:rPr>
          <w:rFonts w:ascii="Arial" w:eastAsia="DengXian" w:hAnsi="Arial" w:cs="Arial"/>
          <w:b/>
          <w:kern w:val="0"/>
          <w:sz w:val="18"/>
          <w:szCs w:val="18"/>
          <w:lang w:val="es-ES"/>
        </w:rPr>
        <w:t xml:space="preserve"> S</w:t>
      </w:r>
      <w:r w:rsidR="00056277">
        <w:rPr>
          <w:rFonts w:ascii="Arial" w:eastAsia="DengXian" w:hAnsi="Arial" w:cs="Arial"/>
          <w:b/>
          <w:kern w:val="0"/>
          <w:sz w:val="18"/>
          <w:szCs w:val="18"/>
          <w:lang w:val="es-ES"/>
        </w:rPr>
        <w:t>ánchez-</w:t>
      </w:r>
      <w:r w:rsidR="00833CCA" w:rsidRPr="00833CCA">
        <w:rPr>
          <w:rFonts w:ascii="Arial" w:eastAsia="DengXian" w:hAnsi="Arial" w:cs="Arial"/>
          <w:b/>
          <w:kern w:val="0"/>
          <w:sz w:val="18"/>
          <w:szCs w:val="18"/>
          <w:lang w:val="es-ES"/>
        </w:rPr>
        <w:t>Pérez</w:t>
      </w:r>
      <w:r w:rsidR="00001629">
        <w:rPr>
          <w:rFonts w:ascii="Arial" w:eastAsia="Times New Roman" w:hAnsi="Arial" w:cs="Arial"/>
          <w:b/>
          <w:kern w:val="0"/>
          <w:sz w:val="18"/>
          <w:szCs w:val="18"/>
          <w:vertAlign w:val="superscript"/>
          <w:lang w:val="es-ES" w:eastAsia="en-US"/>
        </w:rPr>
        <w:t>1</w:t>
      </w:r>
    </w:p>
    <w:p w14:paraId="671273D9"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60" w:lineRule="auto"/>
        <w:jc w:val="center"/>
        <w:outlineLvl w:val="0"/>
        <w:rPr>
          <w:rFonts w:ascii="Arial" w:hAnsi="Arial" w:cs="Arial"/>
          <w:kern w:val="0"/>
          <w:sz w:val="18"/>
          <w:szCs w:val="18"/>
          <w:lang w:val="en-GB"/>
        </w:rPr>
      </w:pPr>
      <w:r w:rsidRPr="00A80816">
        <w:rPr>
          <w:rFonts w:ascii="Arial" w:hAnsi="Arial" w:cs="Arial"/>
          <w:bCs/>
          <w:kern w:val="0"/>
          <w:sz w:val="18"/>
          <w:szCs w:val="18"/>
        </w:rPr>
        <w:t>(</w:t>
      </w:r>
      <w:r w:rsidRPr="00001629">
        <w:rPr>
          <w:rFonts w:ascii="Arial" w:hAnsi="Arial" w:cs="Arial"/>
          <w:bCs/>
          <w:kern w:val="0"/>
          <w:sz w:val="18"/>
          <w:szCs w:val="18"/>
          <w:vertAlign w:val="superscript"/>
          <w:lang w:val="en-GB"/>
        </w:rPr>
        <w:t xml:space="preserve">1 </w:t>
      </w:r>
      <w:r w:rsidR="00001629" w:rsidRPr="00001629">
        <w:rPr>
          <w:rFonts w:ascii="Arial" w:eastAsia="Times New Roman" w:hAnsi="Arial" w:cs="Arial"/>
          <w:kern w:val="0"/>
          <w:sz w:val="18"/>
          <w:szCs w:val="18"/>
          <w:lang w:eastAsia="en-US"/>
        </w:rPr>
        <w:t xml:space="preserve">Solar Energy Research Centre (CIESOL), Joint Centre University of Almeria-CIEMAT, </w:t>
      </w:r>
      <w:r w:rsidR="00833CCA" w:rsidRPr="00833CCA">
        <w:rPr>
          <w:rFonts w:ascii="Arial" w:eastAsia="Times New Roman" w:hAnsi="Arial" w:cs="Arial"/>
          <w:kern w:val="0"/>
          <w:sz w:val="18"/>
          <w:szCs w:val="18"/>
          <w:lang w:val="en-GB" w:eastAsia="en-US"/>
        </w:rPr>
        <w:t>Almería</w:t>
      </w:r>
      <w:r>
        <w:rPr>
          <w:rFonts w:ascii="Arial" w:eastAsia="Times New Roman" w:hAnsi="Arial" w:cs="Arial"/>
          <w:kern w:val="0"/>
          <w:sz w:val="18"/>
          <w:szCs w:val="18"/>
          <w:lang w:val="en-GB" w:eastAsia="en-US"/>
        </w:rPr>
        <w:t xml:space="preserve">, </w:t>
      </w:r>
      <w:r w:rsidR="00833CCA">
        <w:rPr>
          <w:rFonts w:ascii="Arial" w:eastAsia="Times New Roman" w:hAnsi="Arial" w:cs="Arial"/>
          <w:kern w:val="0"/>
          <w:sz w:val="18"/>
          <w:szCs w:val="18"/>
          <w:lang w:val="en-GB" w:eastAsia="en-US"/>
        </w:rPr>
        <w:t>Spain</w:t>
      </w:r>
      <w:r>
        <w:rPr>
          <w:rFonts w:ascii="Arial" w:hAnsi="Arial" w:cs="Arial"/>
          <w:kern w:val="0"/>
          <w:sz w:val="18"/>
          <w:szCs w:val="18"/>
        </w:rPr>
        <w:t>)</w:t>
      </w:r>
    </w:p>
    <w:p w14:paraId="49F33747" w14:textId="14E06C53" w:rsidR="00163D6E" w:rsidRPr="00833CCA" w:rsidRDefault="00163D6E">
      <w:pPr>
        <w:spacing w:line="360" w:lineRule="auto"/>
        <w:rPr>
          <w:rFonts w:ascii="Arial" w:hAnsi="Arial" w:cs="Arial"/>
          <w:sz w:val="18"/>
          <w:szCs w:val="18"/>
        </w:rPr>
      </w:pPr>
      <w:r>
        <w:rPr>
          <w:rFonts w:ascii="Arial" w:hAnsi="Arial" w:cs="Arial"/>
          <w:b/>
          <w:sz w:val="18"/>
          <w:szCs w:val="18"/>
        </w:rPr>
        <w:t>Presenting Author:</w:t>
      </w:r>
      <w:r>
        <w:rPr>
          <w:rFonts w:ascii="Arial" w:hAnsi="Arial" w:cs="Arial" w:hint="eastAsia"/>
          <w:b/>
          <w:sz w:val="18"/>
          <w:szCs w:val="18"/>
        </w:rPr>
        <w:t xml:space="preserve"> </w:t>
      </w:r>
      <w:r w:rsidR="00833CCA" w:rsidRPr="00833CCA">
        <w:rPr>
          <w:rFonts w:ascii="Arial" w:hAnsi="Arial" w:cs="Arial"/>
          <w:sz w:val="18"/>
          <w:szCs w:val="18"/>
        </w:rPr>
        <w:t>P</w:t>
      </w:r>
      <w:r w:rsidR="004C726E">
        <w:rPr>
          <w:rFonts w:ascii="Arial" w:hAnsi="Arial" w:cs="Arial"/>
          <w:sz w:val="18"/>
          <w:szCs w:val="18"/>
        </w:rPr>
        <w:t>.</w:t>
      </w:r>
      <w:r w:rsidR="00833CCA" w:rsidRPr="00833CCA">
        <w:rPr>
          <w:rFonts w:ascii="Arial" w:hAnsi="Arial" w:cs="Arial"/>
          <w:sz w:val="18"/>
          <w:szCs w:val="18"/>
        </w:rPr>
        <w:t xml:space="preserve"> S</w:t>
      </w:r>
      <w:r w:rsidR="004C726E">
        <w:rPr>
          <w:rFonts w:ascii="Arial" w:hAnsi="Arial" w:cs="Arial"/>
          <w:sz w:val="18"/>
          <w:szCs w:val="18"/>
        </w:rPr>
        <w:t>oriano-</w:t>
      </w:r>
      <w:r w:rsidR="00833CCA" w:rsidRPr="00833CCA">
        <w:rPr>
          <w:rFonts w:ascii="Arial" w:hAnsi="Arial" w:cs="Arial"/>
          <w:sz w:val="18"/>
          <w:szCs w:val="18"/>
        </w:rPr>
        <w:t>Molina</w:t>
      </w:r>
    </w:p>
    <w:p w14:paraId="129C8AC5" w14:textId="56B6234E"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60" w:lineRule="auto"/>
        <w:ind w:right="851"/>
        <w:outlineLvl w:val="0"/>
        <w:rPr>
          <w:rFonts w:ascii="Arial" w:eastAsia="Times New Roman" w:hAnsi="Arial" w:cs="Arial"/>
          <w:kern w:val="0"/>
          <w:sz w:val="18"/>
          <w:szCs w:val="18"/>
          <w:lang w:val="en-GB" w:eastAsia="en-US"/>
        </w:rPr>
      </w:pPr>
      <w:r>
        <w:rPr>
          <w:rFonts w:ascii="Arial" w:hAnsi="Arial" w:cs="Arial"/>
          <w:b/>
          <w:bCs/>
          <w:sz w:val="18"/>
          <w:szCs w:val="18"/>
        </w:rPr>
        <w:t>Keywords:</w:t>
      </w:r>
      <w:r w:rsidR="00F43602">
        <w:rPr>
          <w:rFonts w:ascii="Arial" w:hAnsi="Arial" w:cs="Arial"/>
          <w:b/>
          <w:bCs/>
          <w:sz w:val="18"/>
          <w:szCs w:val="18"/>
        </w:rPr>
        <w:t xml:space="preserve"> </w:t>
      </w:r>
      <w:r w:rsidR="00E87F75">
        <w:rPr>
          <w:rFonts w:ascii="Arial" w:hAnsi="Arial" w:cs="Arial"/>
          <w:sz w:val="18"/>
          <w:szCs w:val="18"/>
        </w:rPr>
        <w:t>pathogens;</w:t>
      </w:r>
      <w:r w:rsidR="00F253F3">
        <w:rPr>
          <w:rFonts w:ascii="Arial" w:hAnsi="Arial" w:cs="Arial"/>
          <w:sz w:val="18"/>
          <w:szCs w:val="18"/>
        </w:rPr>
        <w:t xml:space="preserve"> micro</w:t>
      </w:r>
      <w:r w:rsidR="00A654A1">
        <w:rPr>
          <w:rFonts w:ascii="Arial" w:hAnsi="Arial" w:cs="Arial"/>
          <w:sz w:val="18"/>
          <w:szCs w:val="18"/>
        </w:rPr>
        <w:t>pollutant</w:t>
      </w:r>
      <w:r w:rsidR="00E87F75">
        <w:rPr>
          <w:rFonts w:ascii="Arial" w:hAnsi="Arial" w:cs="Arial"/>
          <w:sz w:val="18"/>
          <w:szCs w:val="18"/>
        </w:rPr>
        <w:t>;</w:t>
      </w:r>
      <w:r w:rsidR="00F253F3">
        <w:rPr>
          <w:rFonts w:ascii="Arial" w:hAnsi="Arial" w:cs="Arial"/>
          <w:sz w:val="18"/>
          <w:szCs w:val="18"/>
        </w:rPr>
        <w:t xml:space="preserve"> wastewater treatment</w:t>
      </w:r>
      <w:r w:rsidR="00E87F75">
        <w:rPr>
          <w:rFonts w:ascii="Arial" w:hAnsi="Arial" w:cs="Arial"/>
          <w:sz w:val="18"/>
          <w:szCs w:val="18"/>
        </w:rPr>
        <w:t>;</w:t>
      </w:r>
      <w:r w:rsidR="004E1191">
        <w:rPr>
          <w:rFonts w:ascii="Arial" w:hAnsi="Arial" w:cs="Arial"/>
          <w:sz w:val="18"/>
          <w:szCs w:val="18"/>
        </w:rPr>
        <w:t xml:space="preserve"> </w:t>
      </w:r>
      <w:r w:rsidR="00CD0CA9">
        <w:rPr>
          <w:rFonts w:ascii="Arial" w:hAnsi="Arial" w:cs="Arial"/>
          <w:sz w:val="18"/>
          <w:szCs w:val="18"/>
        </w:rPr>
        <w:t>kinetic model</w:t>
      </w:r>
      <w:r w:rsidR="00E87F75">
        <w:rPr>
          <w:rFonts w:ascii="Arial" w:hAnsi="Arial" w:cs="Arial"/>
          <w:sz w:val="18"/>
          <w:szCs w:val="18"/>
        </w:rPr>
        <w:t>;</w:t>
      </w:r>
      <w:r w:rsidR="00CD0CA9">
        <w:rPr>
          <w:rFonts w:ascii="Arial" w:hAnsi="Arial" w:cs="Arial"/>
          <w:sz w:val="18"/>
          <w:szCs w:val="18"/>
        </w:rPr>
        <w:t xml:space="preserve"> safe water reuse</w:t>
      </w:r>
      <w:r>
        <w:rPr>
          <w:rFonts w:ascii="Arial" w:eastAsia="Times New Roman" w:hAnsi="Arial" w:cs="Arial"/>
          <w:kern w:val="0"/>
          <w:sz w:val="18"/>
          <w:szCs w:val="18"/>
          <w:lang w:val="en-GB" w:eastAsia="en-US"/>
        </w:rPr>
        <w:t>.</w:t>
      </w:r>
    </w:p>
    <w:p w14:paraId="1A84513B"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Introduction</w:t>
      </w:r>
    </w:p>
    <w:p w14:paraId="612CF79C" w14:textId="68B3BBAB" w:rsidR="00163D6E" w:rsidRPr="00526F63" w:rsidRDefault="004962CB">
      <w:pPr>
        <w:adjustRightInd w:val="0"/>
        <w:snapToGrid w:val="0"/>
        <w:spacing w:line="360" w:lineRule="auto"/>
        <w:ind w:firstLineChars="117" w:firstLine="281"/>
        <w:rPr>
          <w:color w:val="000000"/>
          <w:sz w:val="24"/>
        </w:rPr>
      </w:pPr>
      <w:r w:rsidRPr="004962CB">
        <w:rPr>
          <w:sz w:val="24"/>
        </w:rPr>
        <w:t xml:space="preserve">Wastewater </w:t>
      </w:r>
      <w:r w:rsidR="00701C8B" w:rsidRPr="00701C8B">
        <w:rPr>
          <w:sz w:val="24"/>
        </w:rPr>
        <w:t>reclamation and reuse are effective solutions for sustainable resource management, and increasingly restrictive regulations have made efficient quaternary treatments in wastewater treatment plants (WWTPs) imperative (EU Regulation 2020/741; EU Directive 2024/3019). In this context, the solar chlor-photo-Fenton (SCPF) process has emerged as a promising approach for the simultaneous disinfection and removal of micropollutants from WWTP</w:t>
      </w:r>
      <w:r w:rsidR="005B45BC">
        <w:rPr>
          <w:sz w:val="24"/>
        </w:rPr>
        <w:t xml:space="preserve"> secondary</w:t>
      </w:r>
      <w:r w:rsidR="00701C8B" w:rsidRPr="00701C8B">
        <w:rPr>
          <w:sz w:val="24"/>
        </w:rPr>
        <w:t xml:space="preserve"> effluents, while mitigating the formation of disinfection by-products. Investigating the underlying reaction mechanisms is essential for develop</w:t>
      </w:r>
      <w:r w:rsidR="005B45BC">
        <w:rPr>
          <w:sz w:val="24"/>
        </w:rPr>
        <w:t>ing</w:t>
      </w:r>
      <w:r w:rsidR="00701C8B" w:rsidRPr="00701C8B">
        <w:rPr>
          <w:sz w:val="24"/>
        </w:rPr>
        <w:t xml:space="preserve"> reactor design tools, as well as for process control and optimization.</w:t>
      </w:r>
      <w:r w:rsidR="00600593">
        <w:rPr>
          <w:sz w:val="24"/>
        </w:rPr>
        <w:t xml:space="preserve"> </w:t>
      </w:r>
      <w:r w:rsidR="00707557" w:rsidRPr="00707557">
        <w:rPr>
          <w:sz w:val="24"/>
        </w:rPr>
        <w:t>Accordingly</w:t>
      </w:r>
      <w:r w:rsidR="00600593" w:rsidRPr="00600593">
        <w:rPr>
          <w:sz w:val="24"/>
        </w:rPr>
        <w:t>, this work focuses on the development of a mechanistic model of the SCPF process to optimize the operation of raceway pond reactors (RPRs)</w:t>
      </w:r>
      <w:r w:rsidR="00707557">
        <w:rPr>
          <w:sz w:val="24"/>
        </w:rPr>
        <w:t xml:space="preserve"> and ensure </w:t>
      </w:r>
      <w:r w:rsidR="00600593" w:rsidRPr="00600593">
        <w:rPr>
          <w:sz w:val="24"/>
        </w:rPr>
        <w:t>efficient wastewater reclamation.</w:t>
      </w:r>
    </w:p>
    <w:p w14:paraId="1523F7D6"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hint="eastAsia"/>
          <w:b/>
          <w:bCs/>
          <w:sz w:val="24"/>
        </w:rPr>
        <w:t xml:space="preserve">Materials and </w:t>
      </w:r>
      <w:r>
        <w:rPr>
          <w:rFonts w:ascii="Arial" w:hAnsi="Arial" w:cs="Arial"/>
          <w:b/>
          <w:bCs/>
          <w:sz w:val="24"/>
        </w:rPr>
        <w:t>Methods</w:t>
      </w:r>
    </w:p>
    <w:p w14:paraId="14C2E705" w14:textId="77777777" w:rsidR="001211A2" w:rsidRDefault="009746E8" w:rsidP="000B5F02">
      <w:pPr>
        <w:adjustRightInd w:val="0"/>
        <w:snapToGrid w:val="0"/>
        <w:spacing w:line="360" w:lineRule="auto"/>
        <w:ind w:firstLineChars="117" w:firstLine="281"/>
        <w:rPr>
          <w:color w:val="000000"/>
          <w:sz w:val="24"/>
        </w:rPr>
      </w:pPr>
      <w:r w:rsidRPr="00526F63">
        <w:rPr>
          <w:color w:val="000000"/>
          <w:sz w:val="24"/>
        </w:rPr>
        <w:t xml:space="preserve">Experiments were conducted </w:t>
      </w:r>
      <w:r w:rsidR="00600593">
        <w:rPr>
          <w:color w:val="000000"/>
          <w:sz w:val="24"/>
        </w:rPr>
        <w:t xml:space="preserve">using </w:t>
      </w:r>
      <w:r w:rsidRPr="00526F63">
        <w:rPr>
          <w:color w:val="000000"/>
          <w:sz w:val="24"/>
        </w:rPr>
        <w:t>WWTP secondary effluents spiked with benzotriazole (BZT</w:t>
      </w:r>
      <w:r w:rsidR="000D0DC5">
        <w:rPr>
          <w:color w:val="000000"/>
          <w:sz w:val="24"/>
        </w:rPr>
        <w:t xml:space="preserve">, </w:t>
      </w:r>
      <w:r w:rsidR="000D0DC5" w:rsidRPr="00526F63">
        <w:rPr>
          <w:color w:val="000000"/>
          <w:sz w:val="24"/>
        </w:rPr>
        <w:t>50 μg/L</w:t>
      </w:r>
      <w:r w:rsidRPr="00526F63">
        <w:rPr>
          <w:color w:val="000000"/>
          <w:sz w:val="24"/>
        </w:rPr>
        <w:t>)</w:t>
      </w:r>
      <w:r w:rsidR="00DE6840">
        <w:rPr>
          <w:color w:val="000000"/>
          <w:sz w:val="24"/>
        </w:rPr>
        <w:t>,</w:t>
      </w:r>
      <w:r w:rsidRPr="00526F63">
        <w:rPr>
          <w:color w:val="000000"/>
          <w:sz w:val="24"/>
        </w:rPr>
        <w:t xml:space="preserve"> as </w:t>
      </w:r>
      <w:r w:rsidR="005B45BC">
        <w:rPr>
          <w:color w:val="000000"/>
          <w:sz w:val="24"/>
        </w:rPr>
        <w:t xml:space="preserve">a </w:t>
      </w:r>
      <w:r w:rsidRPr="00526F63">
        <w:rPr>
          <w:color w:val="000000"/>
          <w:sz w:val="24"/>
        </w:rPr>
        <w:t xml:space="preserve">model </w:t>
      </w:r>
      <w:r w:rsidR="00DB5ACF" w:rsidRPr="00526F63">
        <w:rPr>
          <w:color w:val="000000"/>
          <w:sz w:val="24"/>
        </w:rPr>
        <w:t>micropollut</w:t>
      </w:r>
      <w:r w:rsidRPr="00526F63">
        <w:rPr>
          <w:color w:val="000000"/>
          <w:sz w:val="24"/>
        </w:rPr>
        <w:t>ant</w:t>
      </w:r>
      <w:r w:rsidR="00606F69" w:rsidRPr="00526F63">
        <w:rPr>
          <w:color w:val="000000"/>
          <w:sz w:val="24"/>
        </w:rPr>
        <w:t xml:space="preserve">. </w:t>
      </w:r>
      <w:r w:rsidRPr="00526F63">
        <w:rPr>
          <w:color w:val="000000"/>
          <w:sz w:val="24"/>
        </w:rPr>
        <w:t>The effect</w:t>
      </w:r>
      <w:r w:rsidR="00EB38D8">
        <w:rPr>
          <w:color w:val="000000"/>
          <w:sz w:val="24"/>
        </w:rPr>
        <w:t>s</w:t>
      </w:r>
      <w:r w:rsidRPr="00526F63">
        <w:rPr>
          <w:color w:val="000000"/>
          <w:sz w:val="24"/>
        </w:rPr>
        <w:t xml:space="preserve"> of temperature (15, 25</w:t>
      </w:r>
      <w:r w:rsidR="00EB38D8">
        <w:rPr>
          <w:color w:val="000000"/>
          <w:sz w:val="24"/>
        </w:rPr>
        <w:t>,</w:t>
      </w:r>
      <w:r w:rsidR="002C6C53">
        <w:rPr>
          <w:color w:val="000000"/>
          <w:sz w:val="24"/>
        </w:rPr>
        <w:t xml:space="preserve"> </w:t>
      </w:r>
      <w:r w:rsidRPr="00526F63">
        <w:rPr>
          <w:color w:val="000000"/>
          <w:sz w:val="24"/>
        </w:rPr>
        <w:t>and 35 °C), ferric nitrilotriacetate (Fe³⁺-NTA, 0.1 and 0.2 mM)</w:t>
      </w:r>
      <w:r w:rsidR="00B871CF">
        <w:rPr>
          <w:color w:val="000000"/>
          <w:sz w:val="24"/>
        </w:rPr>
        <w:t xml:space="preserve"> </w:t>
      </w:r>
      <w:r w:rsidR="000D0DC5">
        <w:rPr>
          <w:color w:val="000000"/>
          <w:sz w:val="24"/>
        </w:rPr>
        <w:t xml:space="preserve">and </w:t>
      </w:r>
      <w:r w:rsidRPr="00526F63">
        <w:rPr>
          <w:color w:val="000000"/>
          <w:sz w:val="24"/>
        </w:rPr>
        <w:t>sodium hypochlorite concentration</w:t>
      </w:r>
      <w:r w:rsidR="000D0DC5">
        <w:rPr>
          <w:color w:val="000000"/>
          <w:sz w:val="24"/>
        </w:rPr>
        <w:t>s</w:t>
      </w:r>
      <w:r w:rsidRPr="00526F63">
        <w:rPr>
          <w:color w:val="000000"/>
          <w:sz w:val="24"/>
        </w:rPr>
        <w:t xml:space="preserve"> (NaO</w:t>
      </w:r>
      <w:r w:rsidR="001F3B95">
        <w:rPr>
          <w:color w:val="000000"/>
          <w:sz w:val="24"/>
        </w:rPr>
        <w:t>Cl</w:t>
      </w:r>
      <w:r w:rsidRPr="00526F63">
        <w:rPr>
          <w:color w:val="000000"/>
          <w:sz w:val="24"/>
        </w:rPr>
        <w:t>, 0.134, 0.268</w:t>
      </w:r>
      <w:r w:rsidR="00EB38D8">
        <w:rPr>
          <w:color w:val="000000"/>
          <w:sz w:val="24"/>
        </w:rPr>
        <w:t>,</w:t>
      </w:r>
      <w:r w:rsidRPr="00526F63">
        <w:rPr>
          <w:color w:val="000000"/>
          <w:sz w:val="24"/>
        </w:rPr>
        <w:t xml:space="preserve"> and 0.402 mM), and </w:t>
      </w:r>
      <w:r w:rsidR="00D25707" w:rsidRPr="00526F63">
        <w:rPr>
          <w:color w:val="000000"/>
          <w:sz w:val="24"/>
        </w:rPr>
        <w:t xml:space="preserve">UVA </w:t>
      </w:r>
      <w:r w:rsidRPr="00526F63">
        <w:rPr>
          <w:color w:val="000000"/>
          <w:sz w:val="24"/>
        </w:rPr>
        <w:t>irradiance (10, 20, 30</w:t>
      </w:r>
      <w:r w:rsidR="00EB38D8">
        <w:rPr>
          <w:color w:val="000000"/>
          <w:sz w:val="24"/>
        </w:rPr>
        <w:t>,</w:t>
      </w:r>
      <w:r w:rsidRPr="00526F63">
        <w:rPr>
          <w:color w:val="000000"/>
          <w:sz w:val="24"/>
        </w:rPr>
        <w:t xml:space="preserve"> and 40 W/m</w:t>
      </w:r>
      <w:r w:rsidRPr="00526F63">
        <w:rPr>
          <w:color w:val="000000"/>
          <w:sz w:val="24"/>
          <w:vertAlign w:val="superscript"/>
        </w:rPr>
        <w:t>2</w:t>
      </w:r>
      <w:r w:rsidRPr="00526F63">
        <w:rPr>
          <w:color w:val="000000"/>
          <w:sz w:val="24"/>
        </w:rPr>
        <w:t xml:space="preserve">) on </w:t>
      </w:r>
      <w:r w:rsidR="002C6C53">
        <w:rPr>
          <w:color w:val="000000"/>
          <w:sz w:val="24"/>
        </w:rPr>
        <w:t xml:space="preserve">BZT </w:t>
      </w:r>
      <w:r w:rsidRPr="00526F63">
        <w:rPr>
          <w:color w:val="000000"/>
          <w:sz w:val="24"/>
        </w:rPr>
        <w:t>removal</w:t>
      </w:r>
      <w:r w:rsidR="00EB38D8">
        <w:rPr>
          <w:color w:val="000000"/>
          <w:sz w:val="24"/>
        </w:rPr>
        <w:t xml:space="preserve"> were evaluated, together with</w:t>
      </w:r>
      <w:r w:rsidRPr="00526F63">
        <w:rPr>
          <w:color w:val="000000"/>
          <w:sz w:val="24"/>
        </w:rPr>
        <w:t xml:space="preserve"> the inactivation of</w:t>
      </w:r>
      <w:r w:rsidR="00D25707" w:rsidRPr="00526F63">
        <w:rPr>
          <w:color w:val="000000"/>
          <w:sz w:val="24"/>
        </w:rPr>
        <w:t xml:space="preserve"> naturally occurring</w:t>
      </w:r>
      <w:r w:rsidRPr="00526F63">
        <w:rPr>
          <w:color w:val="000000"/>
          <w:sz w:val="24"/>
        </w:rPr>
        <w:t xml:space="preserve"> </w:t>
      </w:r>
      <w:r w:rsidRPr="00526F63">
        <w:rPr>
          <w:i/>
          <w:iCs/>
          <w:color w:val="000000"/>
          <w:sz w:val="24"/>
        </w:rPr>
        <w:t xml:space="preserve">Escherichia coli </w:t>
      </w:r>
      <w:r w:rsidRPr="00526F63">
        <w:rPr>
          <w:color w:val="000000"/>
          <w:sz w:val="24"/>
        </w:rPr>
        <w:t>(</w:t>
      </w:r>
      <w:r w:rsidRPr="00526F63">
        <w:rPr>
          <w:i/>
          <w:iCs/>
          <w:color w:val="000000"/>
          <w:sz w:val="24"/>
        </w:rPr>
        <w:t>E. coli</w:t>
      </w:r>
      <w:r w:rsidR="00C65C66" w:rsidRPr="00526F63">
        <w:rPr>
          <w:color w:val="000000"/>
          <w:sz w:val="24"/>
        </w:rPr>
        <w:t>, 5.4·10</w:t>
      </w:r>
      <w:r w:rsidR="00C65C66" w:rsidRPr="00526F63">
        <w:rPr>
          <w:color w:val="000000"/>
          <w:sz w:val="24"/>
          <w:vertAlign w:val="superscript"/>
        </w:rPr>
        <w:t>2</w:t>
      </w:r>
      <w:r w:rsidR="00C65C66" w:rsidRPr="00526F63">
        <w:rPr>
          <w:color w:val="000000"/>
          <w:sz w:val="24"/>
        </w:rPr>
        <w:t xml:space="preserve"> – 3.3·10</w:t>
      </w:r>
      <w:r w:rsidR="00C65C66" w:rsidRPr="00526F63">
        <w:rPr>
          <w:color w:val="000000"/>
          <w:sz w:val="24"/>
          <w:vertAlign w:val="superscript"/>
        </w:rPr>
        <w:t>4</w:t>
      </w:r>
      <w:r w:rsidR="00C65C66" w:rsidRPr="00526F63">
        <w:rPr>
          <w:color w:val="000000"/>
          <w:sz w:val="24"/>
        </w:rPr>
        <w:t xml:space="preserve"> C</w:t>
      </w:r>
      <w:r w:rsidR="001F3B95">
        <w:rPr>
          <w:color w:val="000000"/>
          <w:sz w:val="24"/>
        </w:rPr>
        <w:t>FU</w:t>
      </w:r>
      <w:r w:rsidR="00C65C66" w:rsidRPr="00526F63">
        <w:rPr>
          <w:color w:val="000000"/>
          <w:sz w:val="24"/>
        </w:rPr>
        <w:t>/100 mL</w:t>
      </w:r>
      <w:r w:rsidRPr="00526F63">
        <w:rPr>
          <w:color w:val="000000"/>
          <w:sz w:val="24"/>
        </w:rPr>
        <w:t xml:space="preserve">) and </w:t>
      </w:r>
      <w:r w:rsidRPr="00526F63">
        <w:rPr>
          <w:i/>
          <w:iCs/>
          <w:color w:val="000000"/>
          <w:sz w:val="24"/>
        </w:rPr>
        <w:t xml:space="preserve">Clostridium perfringens </w:t>
      </w:r>
      <w:r w:rsidRPr="00526F63">
        <w:rPr>
          <w:color w:val="000000"/>
          <w:sz w:val="24"/>
        </w:rPr>
        <w:t>(</w:t>
      </w:r>
      <w:r w:rsidRPr="00526F63">
        <w:rPr>
          <w:i/>
          <w:iCs/>
          <w:color w:val="000000"/>
          <w:sz w:val="24"/>
        </w:rPr>
        <w:t>C. perfringens</w:t>
      </w:r>
      <w:r w:rsidR="00C65C66" w:rsidRPr="00526F63">
        <w:rPr>
          <w:color w:val="000000"/>
          <w:sz w:val="24"/>
        </w:rPr>
        <w:t>, 1.8·10</w:t>
      </w:r>
      <w:r w:rsidR="00C65C66" w:rsidRPr="00526F63">
        <w:rPr>
          <w:color w:val="000000"/>
          <w:sz w:val="24"/>
          <w:vertAlign w:val="superscript"/>
        </w:rPr>
        <w:t>2</w:t>
      </w:r>
      <w:r w:rsidR="00C65C66" w:rsidRPr="00526F63">
        <w:rPr>
          <w:color w:val="000000"/>
          <w:sz w:val="24"/>
        </w:rPr>
        <w:t xml:space="preserve"> – 7.2 10</w:t>
      </w:r>
      <w:r w:rsidR="00C65C66" w:rsidRPr="00526F63">
        <w:rPr>
          <w:color w:val="000000"/>
          <w:sz w:val="24"/>
          <w:vertAlign w:val="superscript"/>
        </w:rPr>
        <w:t>3</w:t>
      </w:r>
      <w:r w:rsidR="00C65C66" w:rsidRPr="00526F63">
        <w:rPr>
          <w:color w:val="000000"/>
          <w:sz w:val="24"/>
        </w:rPr>
        <w:t xml:space="preserve"> C</w:t>
      </w:r>
      <w:r w:rsidR="001F3B95">
        <w:rPr>
          <w:color w:val="000000"/>
          <w:sz w:val="24"/>
        </w:rPr>
        <w:t>FU</w:t>
      </w:r>
      <w:r w:rsidR="00C65C66" w:rsidRPr="00526F63">
        <w:rPr>
          <w:color w:val="000000"/>
          <w:sz w:val="24"/>
        </w:rPr>
        <w:t>/100 mL</w:t>
      </w:r>
      <w:r w:rsidRPr="00526F63">
        <w:rPr>
          <w:color w:val="000000"/>
          <w:sz w:val="24"/>
        </w:rPr>
        <w:t>) in</w:t>
      </w:r>
      <w:r w:rsidR="007D44C6" w:rsidRPr="00526F63">
        <w:rPr>
          <w:color w:val="000000"/>
          <w:sz w:val="24"/>
        </w:rPr>
        <w:t xml:space="preserve"> 10-cm deep stirred</w:t>
      </w:r>
      <w:r w:rsidR="006B5473">
        <w:rPr>
          <w:color w:val="000000"/>
          <w:sz w:val="24"/>
        </w:rPr>
        <w:t>-</w:t>
      </w:r>
      <w:r w:rsidR="007D44C6" w:rsidRPr="00526F63">
        <w:rPr>
          <w:color w:val="000000"/>
          <w:sz w:val="24"/>
        </w:rPr>
        <w:t>tank reactors</w:t>
      </w:r>
      <w:r w:rsidR="00DB5ACF" w:rsidRPr="00526F63">
        <w:rPr>
          <w:color w:val="000000"/>
          <w:sz w:val="24"/>
        </w:rPr>
        <w:t xml:space="preserve"> placed in a solar simulator</w:t>
      </w:r>
      <w:r w:rsidR="00D25707" w:rsidRPr="00526F63">
        <w:rPr>
          <w:color w:val="000000"/>
          <w:sz w:val="24"/>
        </w:rPr>
        <w:t xml:space="preserve">. </w:t>
      </w:r>
      <w:r w:rsidR="00C22319" w:rsidRPr="00526F63">
        <w:rPr>
          <w:color w:val="000000"/>
          <w:sz w:val="24"/>
        </w:rPr>
        <w:t>The kinetic parameters were estimated from experimental data assuming perfect mixing and batch mode operation.</w:t>
      </w:r>
      <w:r w:rsidR="00CA43AF" w:rsidRPr="00526F63">
        <w:rPr>
          <w:color w:val="000000"/>
          <w:sz w:val="24"/>
        </w:rPr>
        <w:t xml:space="preserve"> </w:t>
      </w:r>
      <w:r w:rsidR="000755F5">
        <w:rPr>
          <w:color w:val="000000"/>
          <w:sz w:val="24"/>
        </w:rPr>
        <w:t>Then</w:t>
      </w:r>
      <w:r w:rsidR="001F3B95">
        <w:rPr>
          <w:color w:val="000000"/>
          <w:sz w:val="24"/>
        </w:rPr>
        <w:t>,</w:t>
      </w:r>
      <w:r w:rsidR="00234698" w:rsidRPr="00526F63">
        <w:rPr>
          <w:color w:val="000000"/>
          <w:sz w:val="24"/>
        </w:rPr>
        <w:t xml:space="preserve"> </w:t>
      </w:r>
      <w:r w:rsidR="00EE0F3F">
        <w:rPr>
          <w:color w:val="000000"/>
          <w:sz w:val="24"/>
        </w:rPr>
        <w:t>a m</w:t>
      </w:r>
      <w:r w:rsidR="00EE0F3F" w:rsidRPr="00EE0F3F">
        <w:rPr>
          <w:color w:val="000000"/>
          <w:sz w:val="24"/>
        </w:rPr>
        <w:t>odel-based optimization</w:t>
      </w:r>
      <w:r w:rsidR="00EE0F3F">
        <w:rPr>
          <w:color w:val="000000"/>
          <w:sz w:val="24"/>
        </w:rPr>
        <w:t xml:space="preserve"> was conducted incorporating </w:t>
      </w:r>
      <w:r w:rsidR="00234698" w:rsidRPr="00526F63">
        <w:rPr>
          <w:color w:val="000000"/>
          <w:sz w:val="24"/>
        </w:rPr>
        <w:t xml:space="preserve">polynomial </w:t>
      </w:r>
      <w:r w:rsidR="00600593">
        <w:rPr>
          <w:color w:val="000000"/>
          <w:sz w:val="24"/>
        </w:rPr>
        <w:t>equation</w:t>
      </w:r>
      <w:r w:rsidR="00234698" w:rsidRPr="00526F63">
        <w:rPr>
          <w:color w:val="000000"/>
          <w:sz w:val="24"/>
        </w:rPr>
        <w:t>s</w:t>
      </w:r>
      <w:r w:rsidR="00EE0F3F">
        <w:rPr>
          <w:color w:val="000000"/>
          <w:sz w:val="24"/>
        </w:rPr>
        <w:t xml:space="preserve"> </w:t>
      </w:r>
      <w:r w:rsidR="00234698" w:rsidRPr="00526F63">
        <w:rPr>
          <w:color w:val="000000"/>
          <w:sz w:val="24"/>
        </w:rPr>
        <w:t xml:space="preserve">into an optimization routine to determine </w:t>
      </w:r>
      <w:r w:rsidR="008E3D30">
        <w:rPr>
          <w:color w:val="000000"/>
          <w:sz w:val="24"/>
        </w:rPr>
        <w:t xml:space="preserve">the </w:t>
      </w:r>
      <w:r w:rsidR="00234698" w:rsidRPr="00526F63">
        <w:rPr>
          <w:color w:val="000000"/>
          <w:sz w:val="24"/>
        </w:rPr>
        <w:t xml:space="preserve">optimal </w:t>
      </w:r>
      <w:r w:rsidR="000B5F02" w:rsidRPr="00526F63">
        <w:rPr>
          <w:color w:val="000000"/>
          <w:sz w:val="24"/>
        </w:rPr>
        <w:t>reagent concentrations</w:t>
      </w:r>
      <w:r w:rsidR="001F3B95">
        <w:rPr>
          <w:color w:val="000000"/>
          <w:sz w:val="24"/>
        </w:rPr>
        <w:t xml:space="preserve"> </w:t>
      </w:r>
      <w:r w:rsidR="00600593">
        <w:rPr>
          <w:color w:val="000000"/>
          <w:sz w:val="24"/>
        </w:rPr>
        <w:t xml:space="preserve">and reaction times </w:t>
      </w:r>
      <w:r w:rsidR="00234698" w:rsidRPr="00526F63">
        <w:rPr>
          <w:color w:val="000000"/>
          <w:sz w:val="24"/>
        </w:rPr>
        <w:t>for different environmental scenarios</w:t>
      </w:r>
      <w:r w:rsidR="00EB0ECE" w:rsidRPr="00526F63">
        <w:rPr>
          <w:color w:val="000000"/>
          <w:sz w:val="24"/>
        </w:rPr>
        <w:t xml:space="preserve"> and treatment targets</w:t>
      </w:r>
      <w:r w:rsidR="00234698" w:rsidRPr="00526F63">
        <w:rPr>
          <w:color w:val="000000"/>
          <w:sz w:val="24"/>
        </w:rPr>
        <w:t>.</w:t>
      </w:r>
    </w:p>
    <w:p w14:paraId="1FE79041" w14:textId="23231AAB" w:rsidR="00234698" w:rsidRPr="00526F63" w:rsidRDefault="00234698" w:rsidP="000B5F02">
      <w:pPr>
        <w:adjustRightInd w:val="0"/>
        <w:snapToGrid w:val="0"/>
        <w:spacing w:line="360" w:lineRule="auto"/>
        <w:ind w:firstLineChars="117" w:firstLine="281"/>
        <w:rPr>
          <w:color w:val="000000"/>
          <w:sz w:val="24"/>
        </w:rPr>
      </w:pPr>
      <w:r w:rsidRPr="00526F63">
        <w:rPr>
          <w:color w:val="000000"/>
          <w:sz w:val="24"/>
        </w:rPr>
        <w:t> </w:t>
      </w:r>
    </w:p>
    <w:p w14:paraId="1195DA58" w14:textId="77777777" w:rsidR="00163D6E" w:rsidRPr="00526F63"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sidRPr="00526F63">
        <w:rPr>
          <w:rFonts w:ascii="Arial" w:hAnsi="Arial" w:cs="Arial"/>
          <w:b/>
          <w:bCs/>
          <w:sz w:val="24"/>
        </w:rPr>
        <w:lastRenderedPageBreak/>
        <w:t>Results and Discussion</w:t>
      </w:r>
    </w:p>
    <w:p w14:paraId="3CE61572" w14:textId="207872B8" w:rsidR="009F3673" w:rsidRPr="00526F63" w:rsidRDefault="00A36183" w:rsidP="005F2B65">
      <w:pPr>
        <w:adjustRightInd w:val="0"/>
        <w:snapToGrid w:val="0"/>
        <w:spacing w:line="360" w:lineRule="auto"/>
        <w:ind w:firstLineChars="117" w:firstLine="281"/>
        <w:rPr>
          <w:color w:val="000000"/>
          <w:sz w:val="24"/>
        </w:rPr>
      </w:pPr>
      <w:r w:rsidRPr="00A36183">
        <w:rPr>
          <w:color w:val="000000"/>
          <w:sz w:val="24"/>
        </w:rPr>
        <w:t>Based on process phenomenology, a</w:t>
      </w:r>
      <w:r w:rsidR="0060457F">
        <w:rPr>
          <w:color w:val="000000"/>
          <w:sz w:val="24"/>
        </w:rPr>
        <w:t xml:space="preserve"> </w:t>
      </w:r>
      <w:r w:rsidR="0060457F" w:rsidRPr="0060457F">
        <w:rPr>
          <w:color w:val="000000"/>
          <w:sz w:val="24"/>
        </w:rPr>
        <w:t>semi-empirical</w:t>
      </w:r>
      <w:r w:rsidRPr="00A36183">
        <w:rPr>
          <w:color w:val="000000"/>
          <w:sz w:val="24"/>
        </w:rPr>
        <w:t xml:space="preserve"> mechanistic model </w:t>
      </w:r>
      <w:r w:rsidR="0060457F">
        <w:rPr>
          <w:color w:val="000000"/>
          <w:sz w:val="24"/>
        </w:rPr>
        <w:t>wa</w:t>
      </w:r>
      <w:r w:rsidRPr="00A36183">
        <w:rPr>
          <w:color w:val="000000"/>
          <w:sz w:val="24"/>
        </w:rPr>
        <w:t>s proposed, achieving a good balance between the description of photochemical and microbiological processes</w:t>
      </w:r>
      <w:r w:rsidR="009F3673" w:rsidRPr="00526F63">
        <w:rPr>
          <w:color w:val="000000"/>
          <w:sz w:val="24"/>
        </w:rPr>
        <w:t xml:space="preserve">. The model involves </w:t>
      </w:r>
      <w:r w:rsidR="00573D66" w:rsidRPr="00526F63">
        <w:rPr>
          <w:color w:val="000000"/>
          <w:sz w:val="24"/>
        </w:rPr>
        <w:t>different</w:t>
      </w:r>
      <w:r w:rsidR="009F3673" w:rsidRPr="00526F63">
        <w:rPr>
          <w:color w:val="000000"/>
          <w:sz w:val="24"/>
        </w:rPr>
        <w:t xml:space="preserve"> reaction pathways: </w:t>
      </w:r>
      <w:r w:rsidR="00AC484D" w:rsidRPr="00526F63">
        <w:rPr>
          <w:color w:val="000000"/>
          <w:sz w:val="24"/>
        </w:rPr>
        <w:t>chlorination</w:t>
      </w:r>
      <w:r w:rsidR="009F3673" w:rsidRPr="00526F63">
        <w:rPr>
          <w:color w:val="000000"/>
          <w:sz w:val="24"/>
        </w:rPr>
        <w:t>, thermal Fe</w:t>
      </w:r>
      <w:r w:rsidR="009F3673" w:rsidRPr="00526F63">
        <w:rPr>
          <w:color w:val="000000"/>
          <w:sz w:val="24"/>
          <w:vertAlign w:val="superscript"/>
        </w:rPr>
        <w:t>3+</w:t>
      </w:r>
      <w:r w:rsidR="009F3673" w:rsidRPr="00526F63">
        <w:rPr>
          <w:color w:val="000000"/>
          <w:sz w:val="24"/>
        </w:rPr>
        <w:t xml:space="preserve">-NTA decomposition, Fenton-like and solar photo-Fenton, coupling bacterial inactivation </w:t>
      </w:r>
      <w:r w:rsidR="008E3D30">
        <w:rPr>
          <w:color w:val="000000"/>
          <w:sz w:val="24"/>
        </w:rPr>
        <w:t>with</w:t>
      </w:r>
      <w:r w:rsidR="008E3D30" w:rsidRPr="00526F63">
        <w:rPr>
          <w:color w:val="000000"/>
          <w:sz w:val="24"/>
        </w:rPr>
        <w:t xml:space="preserve"> </w:t>
      </w:r>
      <w:r w:rsidR="009F3673" w:rsidRPr="00526F63">
        <w:rPr>
          <w:color w:val="000000"/>
          <w:sz w:val="24"/>
        </w:rPr>
        <w:t>micro</w:t>
      </w:r>
      <w:r w:rsidR="008E3D30">
        <w:rPr>
          <w:color w:val="000000"/>
          <w:sz w:val="24"/>
        </w:rPr>
        <w:t>pollutant</w:t>
      </w:r>
      <w:r w:rsidR="009F3673" w:rsidRPr="00526F63">
        <w:rPr>
          <w:color w:val="000000"/>
          <w:sz w:val="24"/>
        </w:rPr>
        <w:t xml:space="preserve"> removal. </w:t>
      </w:r>
      <w:r w:rsidR="00AC484D" w:rsidRPr="00526F63">
        <w:rPr>
          <w:color w:val="000000"/>
          <w:sz w:val="24"/>
        </w:rPr>
        <w:t>It</w:t>
      </w:r>
      <w:r w:rsidR="009F3673" w:rsidRPr="00526F63">
        <w:rPr>
          <w:color w:val="000000"/>
          <w:sz w:val="24"/>
        </w:rPr>
        <w:t xml:space="preserve"> </w:t>
      </w:r>
      <w:r w:rsidR="008E3D30">
        <w:rPr>
          <w:color w:val="000000"/>
          <w:sz w:val="24"/>
        </w:rPr>
        <w:t>successful</w:t>
      </w:r>
      <w:r w:rsidR="008E3D30" w:rsidRPr="00526F63">
        <w:rPr>
          <w:color w:val="000000"/>
          <w:sz w:val="24"/>
        </w:rPr>
        <w:t>l</w:t>
      </w:r>
      <w:r w:rsidR="009F3673" w:rsidRPr="00526F63">
        <w:rPr>
          <w:color w:val="000000"/>
          <w:sz w:val="24"/>
        </w:rPr>
        <w:t>y fitted the experimental data, with normalized root mean</w:t>
      </w:r>
      <w:r w:rsidR="00B87F5D">
        <w:rPr>
          <w:color w:val="000000"/>
          <w:sz w:val="24"/>
        </w:rPr>
        <w:t xml:space="preserve"> </w:t>
      </w:r>
      <w:r w:rsidR="009F3673" w:rsidRPr="00526F63">
        <w:rPr>
          <w:color w:val="000000"/>
          <w:sz w:val="24"/>
        </w:rPr>
        <w:t>square error</w:t>
      </w:r>
      <w:r w:rsidR="005C4388">
        <w:rPr>
          <w:color w:val="000000"/>
          <w:sz w:val="24"/>
        </w:rPr>
        <w:t xml:space="preserve">s </w:t>
      </w:r>
      <w:r w:rsidR="008A1735">
        <w:rPr>
          <w:color w:val="000000"/>
          <w:sz w:val="24"/>
        </w:rPr>
        <w:t>&lt;</w:t>
      </w:r>
      <w:r w:rsidR="009F3673" w:rsidRPr="00526F63">
        <w:rPr>
          <w:color w:val="000000"/>
          <w:sz w:val="24"/>
        </w:rPr>
        <w:t>20%</w:t>
      </w:r>
      <w:r>
        <w:rPr>
          <w:color w:val="000000"/>
          <w:sz w:val="24"/>
        </w:rPr>
        <w:t xml:space="preserve"> (</w:t>
      </w:r>
      <w:r w:rsidR="009F3673" w:rsidRPr="00526F63">
        <w:rPr>
          <w:color w:val="000000"/>
          <w:sz w:val="24"/>
        </w:rPr>
        <w:t xml:space="preserve">Figure </w:t>
      </w:r>
      <w:r w:rsidR="00AC484D" w:rsidRPr="00526F63">
        <w:rPr>
          <w:color w:val="000000"/>
          <w:sz w:val="24"/>
        </w:rPr>
        <w:t>1</w:t>
      </w:r>
      <w:r>
        <w:rPr>
          <w:color w:val="000000"/>
          <w:sz w:val="24"/>
        </w:rPr>
        <w:t>)</w:t>
      </w:r>
      <w:r w:rsidR="009F3673" w:rsidRPr="00526F63">
        <w:rPr>
          <w:color w:val="000000"/>
          <w:sz w:val="24"/>
        </w:rPr>
        <w:t>.</w:t>
      </w:r>
      <w:r w:rsidR="005F2B65">
        <w:rPr>
          <w:color w:val="000000"/>
          <w:sz w:val="24"/>
        </w:rPr>
        <w:t xml:space="preserve"> </w:t>
      </w:r>
      <w:r w:rsidR="00A15124">
        <w:rPr>
          <w:color w:val="000000"/>
          <w:sz w:val="24"/>
        </w:rPr>
        <w:t xml:space="preserve">The </w:t>
      </w:r>
      <w:r w:rsidR="00AA7DF3">
        <w:rPr>
          <w:color w:val="000000"/>
          <w:sz w:val="24"/>
        </w:rPr>
        <w:t xml:space="preserve">optimal </w:t>
      </w:r>
      <w:r w:rsidR="00365387" w:rsidRPr="00526F63">
        <w:rPr>
          <w:color w:val="000000"/>
          <w:sz w:val="24"/>
        </w:rPr>
        <w:t xml:space="preserve">reagent </w:t>
      </w:r>
      <w:r w:rsidR="00AC484D" w:rsidRPr="00526F63">
        <w:rPr>
          <w:color w:val="000000"/>
          <w:sz w:val="24"/>
        </w:rPr>
        <w:t xml:space="preserve">concentrations </w:t>
      </w:r>
      <w:r w:rsidR="005F2B65" w:rsidRPr="00526F63">
        <w:rPr>
          <w:color w:val="000000"/>
          <w:sz w:val="24"/>
        </w:rPr>
        <w:t>to minimiz</w:t>
      </w:r>
      <w:r w:rsidR="005F2B65">
        <w:rPr>
          <w:color w:val="000000"/>
          <w:sz w:val="24"/>
        </w:rPr>
        <w:t>e</w:t>
      </w:r>
      <w:r w:rsidR="005F2B65" w:rsidRPr="00526F63">
        <w:rPr>
          <w:color w:val="000000"/>
          <w:sz w:val="24"/>
        </w:rPr>
        <w:t xml:space="preserve"> </w:t>
      </w:r>
      <w:r w:rsidR="00EE0F3F">
        <w:rPr>
          <w:color w:val="000000"/>
          <w:sz w:val="24"/>
        </w:rPr>
        <w:t>reagent</w:t>
      </w:r>
      <w:r w:rsidR="00EE0F3F" w:rsidRPr="00526F63">
        <w:rPr>
          <w:color w:val="000000"/>
          <w:sz w:val="24"/>
        </w:rPr>
        <w:t xml:space="preserve"> </w:t>
      </w:r>
      <w:r w:rsidR="005F2B65" w:rsidRPr="00526F63">
        <w:rPr>
          <w:color w:val="000000"/>
          <w:sz w:val="24"/>
        </w:rPr>
        <w:t>costs and maximiz</w:t>
      </w:r>
      <w:r w:rsidR="005F2B65">
        <w:rPr>
          <w:color w:val="000000"/>
          <w:sz w:val="24"/>
        </w:rPr>
        <w:t>e</w:t>
      </w:r>
      <w:r w:rsidR="005F2B65" w:rsidRPr="00526F63">
        <w:rPr>
          <w:color w:val="000000"/>
          <w:sz w:val="24"/>
        </w:rPr>
        <w:t xml:space="preserve"> treatment capacity </w:t>
      </w:r>
      <w:r w:rsidR="005F2B65">
        <w:rPr>
          <w:color w:val="000000"/>
          <w:sz w:val="24"/>
        </w:rPr>
        <w:t xml:space="preserve">varied with the treatment target, with values </w:t>
      </w:r>
      <w:r w:rsidR="00AC484D" w:rsidRPr="00526F63">
        <w:rPr>
          <w:color w:val="000000"/>
          <w:sz w:val="24"/>
        </w:rPr>
        <w:t xml:space="preserve">close to 0.05 mM </w:t>
      </w:r>
      <w:r w:rsidR="005F2B65">
        <w:rPr>
          <w:color w:val="000000"/>
          <w:sz w:val="24"/>
        </w:rPr>
        <w:t xml:space="preserve">of </w:t>
      </w:r>
      <w:r w:rsidR="00AC484D" w:rsidRPr="00526F63">
        <w:rPr>
          <w:color w:val="000000"/>
          <w:sz w:val="24"/>
        </w:rPr>
        <w:t>Fe³⁺</w:t>
      </w:r>
      <w:r w:rsidR="008E3D30">
        <w:rPr>
          <w:color w:val="000000"/>
          <w:sz w:val="24"/>
        </w:rPr>
        <w:t>-</w:t>
      </w:r>
      <w:r w:rsidR="00AC484D" w:rsidRPr="00526F63">
        <w:rPr>
          <w:color w:val="000000"/>
          <w:sz w:val="24"/>
        </w:rPr>
        <w:t xml:space="preserve">NTA, 0.30 mM </w:t>
      </w:r>
      <w:r w:rsidR="005F2B65">
        <w:rPr>
          <w:color w:val="000000"/>
          <w:sz w:val="24"/>
        </w:rPr>
        <w:t xml:space="preserve">of </w:t>
      </w:r>
      <w:r w:rsidR="00AC484D" w:rsidRPr="00526F63">
        <w:rPr>
          <w:color w:val="000000"/>
          <w:sz w:val="24"/>
        </w:rPr>
        <w:t xml:space="preserve">H₂O₂, and 0.67 mM </w:t>
      </w:r>
      <w:r w:rsidR="005F2B65">
        <w:rPr>
          <w:color w:val="000000"/>
          <w:sz w:val="24"/>
        </w:rPr>
        <w:t xml:space="preserve">of </w:t>
      </w:r>
      <w:r w:rsidR="00AC484D" w:rsidRPr="00526F63">
        <w:rPr>
          <w:color w:val="000000"/>
          <w:sz w:val="24"/>
        </w:rPr>
        <w:t>NaO</w:t>
      </w:r>
      <w:r w:rsidR="008A1735">
        <w:rPr>
          <w:color w:val="000000"/>
          <w:sz w:val="24"/>
        </w:rPr>
        <w:t>Cl</w:t>
      </w:r>
      <w:r>
        <w:rPr>
          <w:color w:val="000000"/>
          <w:sz w:val="24"/>
        </w:rPr>
        <w:t xml:space="preserve"> (</w:t>
      </w:r>
      <w:r w:rsidR="00365387" w:rsidRPr="00526F63">
        <w:rPr>
          <w:color w:val="000000"/>
          <w:sz w:val="24"/>
        </w:rPr>
        <w:t>Figure 2</w:t>
      </w:r>
      <w:r>
        <w:rPr>
          <w:color w:val="000000"/>
          <w:sz w:val="24"/>
        </w:rPr>
        <w:t>)</w:t>
      </w:r>
      <w:r w:rsidR="008E3D30">
        <w:rPr>
          <w:color w:val="000000"/>
          <w:sz w:val="24"/>
        </w:rPr>
        <w:t xml:space="preserve">, </w:t>
      </w:r>
      <w:r>
        <w:rPr>
          <w:color w:val="000000"/>
          <w:sz w:val="24"/>
        </w:rPr>
        <w:t>whereas</w:t>
      </w:r>
      <w:r w:rsidR="00AD7862">
        <w:rPr>
          <w:color w:val="000000"/>
          <w:sz w:val="24"/>
        </w:rPr>
        <w:t xml:space="preserve"> </w:t>
      </w:r>
      <w:r w:rsidR="008E3D30">
        <w:rPr>
          <w:color w:val="000000"/>
          <w:sz w:val="24"/>
        </w:rPr>
        <w:t>the optimal reaction times ranged from 50 to 90 min</w:t>
      </w:r>
      <w:r w:rsidR="00973EE2">
        <w:rPr>
          <w:color w:val="000000"/>
          <w:sz w:val="24"/>
        </w:rPr>
        <w:t>.</w:t>
      </w:r>
    </w:p>
    <w:tbl>
      <w:tblPr>
        <w:tblW w:w="0" w:type="auto"/>
        <w:jc w:val="center"/>
        <w:tblLook w:val="04A0" w:firstRow="1" w:lastRow="0" w:firstColumn="1" w:lastColumn="0" w:noHBand="0" w:noVBand="1"/>
      </w:tblPr>
      <w:tblGrid>
        <w:gridCol w:w="4363"/>
        <w:gridCol w:w="4707"/>
      </w:tblGrid>
      <w:tr w:rsidR="00C06026" w14:paraId="4C62B6D4" w14:textId="77777777" w:rsidTr="008A390E">
        <w:trPr>
          <w:trHeight w:val="3018"/>
          <w:jc w:val="center"/>
        </w:trPr>
        <w:tc>
          <w:tcPr>
            <w:tcW w:w="3334" w:type="dxa"/>
          </w:tcPr>
          <w:p w14:paraId="61D18816" w14:textId="36E7349F" w:rsidR="006A6B39" w:rsidRDefault="003A6F96">
            <w:pPr>
              <w:rPr>
                <w:rFonts w:ascii="Calibri" w:eastAsia="Calibri" w:hAnsi="Calibri"/>
                <w:szCs w:val="22"/>
              </w:rPr>
            </w:pPr>
            <w:r>
              <w:object w:dxaOrig="8842" w:dyaOrig="6585" w14:anchorId="512A05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7.35pt;height:154.75pt" o:ole="">
                  <v:imagedata r:id="rId6" o:title=""/>
                </v:shape>
                <o:OLEObject Type="Embed" ProgID="SigmaPlotGraphicObject.10" ShapeID="_x0000_i1025" DrawAspect="Content" ObjectID="_1832496878" r:id="rId7"/>
              </w:object>
            </w:r>
          </w:p>
        </w:tc>
        <w:tc>
          <w:tcPr>
            <w:tcW w:w="5952" w:type="dxa"/>
          </w:tcPr>
          <w:p w14:paraId="3E5E8D62" w14:textId="32D55034" w:rsidR="006A6B39" w:rsidRDefault="003A6F96">
            <w:pPr>
              <w:rPr>
                <w:rFonts w:ascii="Calibri" w:eastAsia="Calibri" w:hAnsi="Calibri"/>
                <w:szCs w:val="22"/>
              </w:rPr>
            </w:pPr>
            <w:r>
              <w:rPr>
                <w:rFonts w:ascii="Calibri" w:eastAsia="Calibri" w:hAnsi="Calibri"/>
                <w:noProof/>
                <w:szCs w:val="22"/>
              </w:rPr>
              <w:drawing>
                <wp:inline distT="0" distB="0" distL="0" distR="0" wp14:anchorId="50C9BCF0" wp14:editId="3643BE17">
                  <wp:extent cx="2795825" cy="1881648"/>
                  <wp:effectExtent l="0" t="0" r="5080" b="4445"/>
                  <wp:docPr id="15513256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7957" cy="1889813"/>
                          </a:xfrm>
                          <a:prstGeom prst="rect">
                            <a:avLst/>
                          </a:prstGeom>
                          <a:noFill/>
                        </pic:spPr>
                      </pic:pic>
                    </a:graphicData>
                  </a:graphic>
                </wp:inline>
              </w:drawing>
            </w:r>
          </w:p>
        </w:tc>
      </w:tr>
    </w:tbl>
    <w:p w14:paraId="020CAEC6" w14:textId="2B98413F" w:rsidR="00163D6E" w:rsidRPr="004E1191" w:rsidRDefault="006A6B39" w:rsidP="00573D66">
      <w:pPr>
        <w:adjustRightInd w:val="0"/>
        <w:snapToGrid w:val="0"/>
        <w:spacing w:line="360" w:lineRule="auto"/>
        <w:ind w:firstLineChars="117" w:firstLine="211"/>
        <w:rPr>
          <w:rFonts w:ascii="Arial" w:hAnsi="Arial" w:cs="Arial"/>
          <w:color w:val="000000"/>
          <w:sz w:val="18"/>
          <w:szCs w:val="18"/>
        </w:rPr>
      </w:pPr>
      <w:r>
        <w:rPr>
          <w:rFonts w:ascii="Arial" w:hAnsi="Arial" w:cs="Arial"/>
          <w:b/>
          <w:bCs/>
          <w:color w:val="000000"/>
          <w:sz w:val="18"/>
          <w:szCs w:val="18"/>
        </w:rPr>
        <w:t>Figure 1</w:t>
      </w:r>
      <w:r w:rsidR="00365387">
        <w:rPr>
          <w:rFonts w:ascii="Arial" w:hAnsi="Arial" w:cs="Arial"/>
          <w:b/>
          <w:bCs/>
          <w:color w:val="000000"/>
          <w:sz w:val="18"/>
          <w:szCs w:val="18"/>
        </w:rPr>
        <w:t xml:space="preserve"> </w:t>
      </w:r>
      <w:r w:rsidR="00D313B2" w:rsidRPr="00D313B2">
        <w:rPr>
          <w:rFonts w:ascii="Arial" w:hAnsi="Arial" w:cs="Arial"/>
          <w:color w:val="000000"/>
          <w:sz w:val="18"/>
          <w:szCs w:val="18"/>
        </w:rPr>
        <w:t>(A)</w:t>
      </w:r>
      <w:r w:rsidR="00D313B2">
        <w:rPr>
          <w:rFonts w:ascii="Arial" w:hAnsi="Arial" w:cs="Arial"/>
          <w:b/>
          <w:bCs/>
          <w:color w:val="000000"/>
          <w:sz w:val="18"/>
          <w:szCs w:val="18"/>
        </w:rPr>
        <w:t xml:space="preserve"> </w:t>
      </w:r>
      <w:r w:rsidR="00365387" w:rsidRPr="00DF7C3A">
        <w:rPr>
          <w:rFonts w:ascii="Arial" w:hAnsi="Arial" w:cs="Arial"/>
          <w:color w:val="000000"/>
          <w:sz w:val="18"/>
          <w:szCs w:val="18"/>
        </w:rPr>
        <w:t xml:space="preserve">BZT removal, </w:t>
      </w:r>
      <w:r w:rsidR="005E0DB0">
        <w:rPr>
          <w:rFonts w:ascii="Arial" w:hAnsi="Arial" w:cs="Arial"/>
          <w:color w:val="000000"/>
          <w:sz w:val="18"/>
          <w:szCs w:val="18"/>
        </w:rPr>
        <w:t xml:space="preserve">and </w:t>
      </w:r>
      <w:r w:rsidR="00365387" w:rsidRPr="00DF7C3A">
        <w:rPr>
          <w:rFonts w:ascii="Arial" w:hAnsi="Arial" w:cs="Arial"/>
          <w:i/>
          <w:iCs/>
          <w:color w:val="000000"/>
          <w:sz w:val="18"/>
          <w:szCs w:val="18"/>
        </w:rPr>
        <w:t>E. coli</w:t>
      </w:r>
      <w:r w:rsidR="00365387" w:rsidRPr="00DF7C3A">
        <w:rPr>
          <w:rFonts w:ascii="Arial" w:hAnsi="Arial" w:cs="Arial"/>
          <w:color w:val="000000"/>
          <w:sz w:val="18"/>
          <w:szCs w:val="18"/>
        </w:rPr>
        <w:t xml:space="preserve"> </w:t>
      </w:r>
      <w:r w:rsidR="00DF7C3A">
        <w:rPr>
          <w:rFonts w:ascii="Arial" w:hAnsi="Arial" w:cs="Arial"/>
          <w:color w:val="000000"/>
          <w:sz w:val="18"/>
          <w:szCs w:val="18"/>
        </w:rPr>
        <w:t xml:space="preserve">and </w:t>
      </w:r>
      <w:r w:rsidR="00365387" w:rsidRPr="00DF7C3A">
        <w:rPr>
          <w:rFonts w:ascii="Arial" w:hAnsi="Arial" w:cs="Arial"/>
          <w:i/>
          <w:iCs/>
          <w:color w:val="000000"/>
          <w:sz w:val="18"/>
          <w:szCs w:val="18"/>
        </w:rPr>
        <w:t>C. perfringens</w:t>
      </w:r>
      <w:r w:rsidR="00365387" w:rsidRPr="00DF7C3A">
        <w:rPr>
          <w:rFonts w:ascii="Arial" w:hAnsi="Arial" w:cs="Arial"/>
          <w:color w:val="000000"/>
          <w:sz w:val="18"/>
          <w:szCs w:val="18"/>
        </w:rPr>
        <w:t xml:space="preserve"> </w:t>
      </w:r>
      <w:r w:rsidR="001F3B95">
        <w:rPr>
          <w:rFonts w:ascii="Arial" w:hAnsi="Arial" w:cs="Arial"/>
          <w:color w:val="000000"/>
          <w:sz w:val="18"/>
          <w:szCs w:val="18"/>
        </w:rPr>
        <w:t xml:space="preserve">inactivation </w:t>
      </w:r>
      <w:r w:rsidR="00365387" w:rsidRPr="00DF7C3A">
        <w:rPr>
          <w:rFonts w:ascii="Arial" w:hAnsi="Arial" w:cs="Arial"/>
          <w:color w:val="000000"/>
          <w:sz w:val="18"/>
          <w:szCs w:val="18"/>
        </w:rPr>
        <w:t xml:space="preserve">by </w:t>
      </w:r>
      <w:r w:rsidR="00FB1CF1">
        <w:rPr>
          <w:rFonts w:ascii="Arial" w:hAnsi="Arial" w:cs="Arial"/>
          <w:color w:val="000000"/>
          <w:sz w:val="18"/>
          <w:szCs w:val="18"/>
        </w:rPr>
        <w:t>SC</w:t>
      </w:r>
      <w:r w:rsidR="00526F63">
        <w:rPr>
          <w:rFonts w:ascii="Arial" w:hAnsi="Arial" w:cs="Arial"/>
          <w:color w:val="000000"/>
          <w:sz w:val="18"/>
          <w:szCs w:val="18"/>
        </w:rPr>
        <w:t>P</w:t>
      </w:r>
      <w:r w:rsidR="00FB1CF1">
        <w:rPr>
          <w:rFonts w:ascii="Arial" w:hAnsi="Arial" w:cs="Arial"/>
          <w:color w:val="000000"/>
          <w:sz w:val="18"/>
          <w:szCs w:val="18"/>
        </w:rPr>
        <w:t>F</w:t>
      </w:r>
      <w:r w:rsidR="00365387" w:rsidRPr="00DF7C3A">
        <w:rPr>
          <w:rFonts w:ascii="Arial" w:hAnsi="Arial" w:cs="Arial"/>
          <w:color w:val="000000"/>
          <w:sz w:val="18"/>
          <w:szCs w:val="18"/>
        </w:rPr>
        <w:t xml:space="preserve"> at</w:t>
      </w:r>
      <w:r w:rsidR="00DF7C3A">
        <w:rPr>
          <w:rFonts w:ascii="Arial" w:hAnsi="Arial" w:cs="Arial"/>
          <w:color w:val="000000"/>
          <w:sz w:val="18"/>
          <w:szCs w:val="18"/>
        </w:rPr>
        <w:t xml:space="preserve"> 10</w:t>
      </w:r>
      <w:r w:rsidR="005E0DB0">
        <w:rPr>
          <w:rFonts w:ascii="Arial" w:hAnsi="Arial" w:cs="Arial"/>
          <w:color w:val="000000"/>
          <w:sz w:val="18"/>
          <w:szCs w:val="18"/>
        </w:rPr>
        <w:t>-</w:t>
      </w:r>
      <w:r w:rsidR="00DF7C3A">
        <w:rPr>
          <w:rFonts w:ascii="Arial" w:hAnsi="Arial" w:cs="Arial"/>
          <w:color w:val="000000"/>
          <w:sz w:val="18"/>
          <w:szCs w:val="18"/>
        </w:rPr>
        <w:t>cm liquid depth,</w:t>
      </w:r>
      <w:r w:rsidR="00365387" w:rsidRPr="00DF7C3A">
        <w:rPr>
          <w:rFonts w:ascii="Arial" w:hAnsi="Arial" w:cs="Arial"/>
          <w:color w:val="000000"/>
          <w:sz w:val="18"/>
          <w:szCs w:val="18"/>
        </w:rPr>
        <w:t xml:space="preserve"> 25 °C and </w:t>
      </w:r>
      <w:r w:rsidR="00DF7C3A">
        <w:rPr>
          <w:rFonts w:ascii="Arial" w:hAnsi="Arial" w:cs="Arial"/>
          <w:color w:val="000000"/>
          <w:sz w:val="18"/>
          <w:szCs w:val="18"/>
        </w:rPr>
        <w:t>40 W/m</w:t>
      </w:r>
      <w:r w:rsidR="00DF7C3A" w:rsidRPr="00DF7C3A">
        <w:rPr>
          <w:rFonts w:ascii="Arial" w:hAnsi="Arial" w:cs="Arial"/>
          <w:color w:val="000000"/>
          <w:sz w:val="18"/>
          <w:szCs w:val="18"/>
          <w:vertAlign w:val="superscript"/>
        </w:rPr>
        <w:t xml:space="preserve">2 </w:t>
      </w:r>
      <w:r w:rsidR="00365387" w:rsidRPr="00DF7C3A">
        <w:rPr>
          <w:rFonts w:ascii="Arial" w:hAnsi="Arial" w:cs="Arial"/>
          <w:color w:val="000000"/>
          <w:sz w:val="18"/>
          <w:szCs w:val="18"/>
        </w:rPr>
        <w:t>UVA irradiance</w:t>
      </w:r>
      <w:r w:rsidR="008E3D30">
        <w:rPr>
          <w:rFonts w:ascii="Arial" w:hAnsi="Arial" w:cs="Arial"/>
          <w:color w:val="000000"/>
          <w:sz w:val="18"/>
          <w:szCs w:val="18"/>
        </w:rPr>
        <w:t xml:space="preserve">, </w:t>
      </w:r>
      <w:r w:rsidR="00D313B2">
        <w:rPr>
          <w:rFonts w:ascii="Arial" w:hAnsi="Arial" w:cs="Arial"/>
          <w:color w:val="000000"/>
          <w:sz w:val="18"/>
          <w:szCs w:val="18"/>
        </w:rPr>
        <w:t xml:space="preserve">with </w:t>
      </w:r>
      <w:r w:rsidR="00DF7C3A" w:rsidRPr="009746E8">
        <w:rPr>
          <w:rFonts w:ascii="Arial" w:hAnsi="Arial" w:cs="Arial"/>
          <w:color w:val="000000"/>
          <w:sz w:val="18"/>
          <w:szCs w:val="18"/>
        </w:rPr>
        <w:t>0.402 mM</w:t>
      </w:r>
      <w:r w:rsidR="00DF7C3A" w:rsidRPr="00DF7C3A">
        <w:rPr>
          <w:rFonts w:ascii="Arial" w:hAnsi="Arial" w:cs="Arial"/>
          <w:color w:val="000000"/>
          <w:sz w:val="18"/>
          <w:szCs w:val="18"/>
        </w:rPr>
        <w:t xml:space="preserve"> </w:t>
      </w:r>
      <w:r w:rsidR="00DF7C3A">
        <w:rPr>
          <w:rFonts w:ascii="Arial" w:hAnsi="Arial" w:cs="Arial"/>
          <w:color w:val="000000"/>
          <w:sz w:val="18"/>
          <w:szCs w:val="18"/>
        </w:rPr>
        <w:t>NaO</w:t>
      </w:r>
      <w:r w:rsidR="005E0DB0">
        <w:rPr>
          <w:rFonts w:ascii="Arial" w:hAnsi="Arial" w:cs="Arial"/>
          <w:color w:val="000000"/>
          <w:sz w:val="18"/>
          <w:szCs w:val="18"/>
        </w:rPr>
        <w:t>Cl</w:t>
      </w:r>
      <w:r w:rsidR="00DF7C3A">
        <w:rPr>
          <w:rFonts w:ascii="Arial" w:hAnsi="Arial" w:cs="Arial"/>
          <w:color w:val="000000"/>
          <w:sz w:val="18"/>
          <w:szCs w:val="18"/>
        </w:rPr>
        <w:t xml:space="preserve">, </w:t>
      </w:r>
      <w:r w:rsidR="00365387" w:rsidRPr="00DF7C3A">
        <w:rPr>
          <w:rFonts w:ascii="Arial" w:hAnsi="Arial" w:cs="Arial"/>
          <w:color w:val="000000"/>
          <w:sz w:val="18"/>
          <w:szCs w:val="18"/>
        </w:rPr>
        <w:t>1.47 mM H</w:t>
      </w:r>
      <w:r w:rsidR="00365387" w:rsidRPr="00DF7C3A">
        <w:rPr>
          <w:rFonts w:ascii="Arial" w:hAnsi="Arial" w:cs="Arial"/>
          <w:color w:val="000000"/>
          <w:sz w:val="18"/>
          <w:szCs w:val="18"/>
          <w:vertAlign w:val="subscript"/>
        </w:rPr>
        <w:t>2</w:t>
      </w:r>
      <w:r w:rsidR="00365387" w:rsidRPr="00DF7C3A">
        <w:rPr>
          <w:rFonts w:ascii="Arial" w:hAnsi="Arial" w:cs="Arial"/>
          <w:color w:val="000000"/>
          <w:sz w:val="18"/>
          <w:szCs w:val="18"/>
        </w:rPr>
        <w:t>O</w:t>
      </w:r>
      <w:r w:rsidR="00365387" w:rsidRPr="00DF7C3A">
        <w:rPr>
          <w:rFonts w:ascii="Arial" w:hAnsi="Arial" w:cs="Arial"/>
          <w:color w:val="000000"/>
          <w:sz w:val="18"/>
          <w:szCs w:val="18"/>
          <w:vertAlign w:val="subscript"/>
        </w:rPr>
        <w:t>2</w:t>
      </w:r>
      <w:r w:rsidR="00D313B2">
        <w:rPr>
          <w:rFonts w:ascii="Arial" w:hAnsi="Arial" w:cs="Arial"/>
          <w:color w:val="000000"/>
          <w:sz w:val="18"/>
          <w:szCs w:val="18"/>
        </w:rPr>
        <w:t xml:space="preserve"> and</w:t>
      </w:r>
      <w:r w:rsidR="00DF7C3A">
        <w:rPr>
          <w:rFonts w:ascii="Arial" w:hAnsi="Arial" w:cs="Arial"/>
          <w:color w:val="000000"/>
          <w:sz w:val="18"/>
          <w:szCs w:val="18"/>
        </w:rPr>
        <w:t xml:space="preserve"> </w:t>
      </w:r>
      <w:r w:rsidR="00365387" w:rsidRPr="00DF7C3A">
        <w:rPr>
          <w:rFonts w:ascii="Arial" w:hAnsi="Arial" w:cs="Arial"/>
          <w:color w:val="000000"/>
          <w:sz w:val="18"/>
          <w:szCs w:val="18"/>
        </w:rPr>
        <w:t>0.1 mM Fe</w:t>
      </w:r>
      <w:r w:rsidR="00365387" w:rsidRPr="00DF7C3A">
        <w:rPr>
          <w:rFonts w:ascii="Arial" w:hAnsi="Arial" w:cs="Arial"/>
          <w:color w:val="000000"/>
          <w:sz w:val="18"/>
          <w:szCs w:val="18"/>
          <w:vertAlign w:val="superscript"/>
        </w:rPr>
        <w:t>3+</w:t>
      </w:r>
      <w:r w:rsidR="00365387" w:rsidRPr="00DF7C3A">
        <w:rPr>
          <w:rFonts w:ascii="Arial" w:hAnsi="Arial" w:cs="Arial"/>
          <w:color w:val="000000"/>
          <w:sz w:val="18"/>
          <w:szCs w:val="18"/>
        </w:rPr>
        <w:t>-NTA. Lines represent model estimations.</w:t>
      </w:r>
      <w:r w:rsidR="00D313B2">
        <w:rPr>
          <w:rFonts w:ascii="Arial" w:hAnsi="Arial" w:cs="Arial"/>
          <w:color w:val="000000"/>
          <w:sz w:val="18"/>
          <w:szCs w:val="18"/>
        </w:rPr>
        <w:t xml:space="preserve"> (B) </w:t>
      </w:r>
      <w:r w:rsidR="00D313B2" w:rsidRPr="004E1191">
        <w:rPr>
          <w:rFonts w:ascii="Arial" w:hAnsi="Arial" w:cs="Arial"/>
          <w:color w:val="000000"/>
          <w:sz w:val="18"/>
          <w:szCs w:val="18"/>
        </w:rPr>
        <w:t>Optimal reagent concentrations, unitary operating cost, and reaction time (RT) for t</w:t>
      </w:r>
      <w:r w:rsidR="0022397C">
        <w:rPr>
          <w:rFonts w:ascii="Arial" w:hAnsi="Arial" w:cs="Arial"/>
          <w:color w:val="000000"/>
          <w:sz w:val="18"/>
          <w:szCs w:val="18"/>
        </w:rPr>
        <w:t>he</w:t>
      </w:r>
      <w:r w:rsidR="00D313B2" w:rsidRPr="004E1191">
        <w:rPr>
          <w:rFonts w:ascii="Arial" w:hAnsi="Arial" w:cs="Arial"/>
          <w:color w:val="000000"/>
          <w:sz w:val="18"/>
          <w:szCs w:val="18"/>
        </w:rPr>
        <w:t xml:space="preserve"> treatment targets</w:t>
      </w:r>
      <w:r w:rsidR="005F2B65">
        <w:rPr>
          <w:rFonts w:ascii="Arial" w:hAnsi="Arial" w:cs="Arial"/>
          <w:color w:val="000000"/>
          <w:sz w:val="18"/>
          <w:szCs w:val="18"/>
        </w:rPr>
        <w:t xml:space="preserve"> </w:t>
      </w:r>
      <w:r w:rsidR="008A1735">
        <w:rPr>
          <w:rFonts w:ascii="Arial" w:hAnsi="Arial" w:cs="Arial"/>
          <w:color w:val="000000"/>
          <w:sz w:val="18"/>
          <w:szCs w:val="18"/>
        </w:rPr>
        <w:t>based on</w:t>
      </w:r>
      <w:r w:rsidR="005F2B65">
        <w:rPr>
          <w:rFonts w:ascii="Arial" w:hAnsi="Arial" w:cs="Arial"/>
          <w:color w:val="000000"/>
          <w:sz w:val="18"/>
          <w:szCs w:val="18"/>
        </w:rPr>
        <w:t xml:space="preserve"> </w:t>
      </w:r>
      <w:r w:rsidR="005F2B65" w:rsidRPr="004E1191">
        <w:rPr>
          <w:rFonts w:ascii="Arial" w:hAnsi="Arial" w:cs="Arial"/>
          <w:i/>
          <w:iCs/>
          <w:color w:val="000000"/>
          <w:sz w:val="18"/>
          <w:szCs w:val="18"/>
        </w:rPr>
        <w:t>C. perfringens</w:t>
      </w:r>
      <w:r w:rsidR="005F2B65" w:rsidRPr="004E1191">
        <w:rPr>
          <w:rFonts w:ascii="Arial" w:hAnsi="Arial" w:cs="Arial"/>
          <w:color w:val="000000"/>
          <w:sz w:val="18"/>
          <w:szCs w:val="18"/>
        </w:rPr>
        <w:t xml:space="preserve"> concentration</w:t>
      </w:r>
      <w:r w:rsidR="00D313B2" w:rsidRPr="004E1191">
        <w:rPr>
          <w:rFonts w:ascii="Arial" w:hAnsi="Arial" w:cs="Arial"/>
          <w:color w:val="000000"/>
          <w:sz w:val="18"/>
          <w:szCs w:val="18"/>
        </w:rPr>
        <w:t>: 5</w:t>
      </w:r>
      <w:r w:rsidR="000327EB">
        <w:rPr>
          <w:rFonts w:ascii="Arial" w:hAnsi="Arial" w:cs="Arial"/>
          <w:color w:val="000000"/>
          <w:sz w:val="18"/>
          <w:szCs w:val="18"/>
        </w:rPr>
        <w:t>-</w:t>
      </w:r>
      <w:r w:rsidR="00D313B2" w:rsidRPr="004E1191">
        <w:rPr>
          <w:rFonts w:ascii="Arial" w:hAnsi="Arial" w:cs="Arial"/>
          <w:color w:val="000000"/>
          <w:sz w:val="18"/>
          <w:szCs w:val="18"/>
        </w:rPr>
        <w:t>log</w:t>
      </w:r>
      <w:r w:rsidR="00BF3348" w:rsidRPr="00BF3348">
        <w:rPr>
          <w:rFonts w:ascii="Arial" w:hAnsi="Arial" w:cs="Arial"/>
          <w:color w:val="000000"/>
          <w:sz w:val="18"/>
          <w:szCs w:val="18"/>
          <w:vertAlign w:val="subscript"/>
        </w:rPr>
        <w:t>10</w:t>
      </w:r>
      <w:r w:rsidR="00D313B2" w:rsidRPr="004E1191">
        <w:rPr>
          <w:rFonts w:ascii="Arial" w:hAnsi="Arial" w:cs="Arial"/>
          <w:color w:val="000000"/>
          <w:sz w:val="18"/>
          <w:szCs w:val="18"/>
        </w:rPr>
        <w:t xml:space="preserve"> reduction relat</w:t>
      </w:r>
      <w:r w:rsidR="008A1735">
        <w:rPr>
          <w:rFonts w:ascii="Arial" w:hAnsi="Arial" w:cs="Arial"/>
          <w:color w:val="000000"/>
          <w:sz w:val="18"/>
          <w:szCs w:val="18"/>
        </w:rPr>
        <w:t>ed</w:t>
      </w:r>
      <w:r w:rsidR="00D313B2" w:rsidRPr="004E1191">
        <w:rPr>
          <w:rFonts w:ascii="Arial" w:hAnsi="Arial" w:cs="Arial"/>
          <w:color w:val="000000"/>
          <w:sz w:val="18"/>
          <w:szCs w:val="18"/>
        </w:rPr>
        <w:t xml:space="preserve"> to the WWTP influent (</w:t>
      </w:r>
      <w:r w:rsidR="00EE0F3F">
        <w:rPr>
          <w:rFonts w:ascii="Arial" w:hAnsi="Arial" w:cs="Arial"/>
          <w:color w:val="000000"/>
          <w:sz w:val="18"/>
          <w:szCs w:val="18"/>
        </w:rPr>
        <w:t>Target</w:t>
      </w:r>
      <w:r w:rsidR="00BF3348">
        <w:rPr>
          <w:rFonts w:ascii="Arial" w:hAnsi="Arial" w:cs="Arial"/>
          <w:color w:val="000000"/>
          <w:sz w:val="18"/>
          <w:szCs w:val="18"/>
        </w:rPr>
        <w:t xml:space="preserve"> </w:t>
      </w:r>
      <w:r w:rsidR="00A2583B">
        <w:rPr>
          <w:rFonts w:ascii="Arial" w:hAnsi="Arial" w:cs="Arial"/>
          <w:color w:val="000000"/>
          <w:sz w:val="18"/>
          <w:szCs w:val="18"/>
        </w:rPr>
        <w:t>A</w:t>
      </w:r>
      <w:r w:rsidR="00D313B2" w:rsidRPr="004E1191">
        <w:rPr>
          <w:rFonts w:ascii="Arial" w:hAnsi="Arial" w:cs="Arial"/>
          <w:color w:val="000000"/>
          <w:sz w:val="18"/>
          <w:szCs w:val="18"/>
        </w:rPr>
        <w:t>), and</w:t>
      </w:r>
      <w:r w:rsidR="005F2B65">
        <w:rPr>
          <w:rFonts w:ascii="Arial" w:hAnsi="Arial" w:cs="Arial"/>
          <w:color w:val="000000"/>
          <w:sz w:val="18"/>
          <w:szCs w:val="18"/>
        </w:rPr>
        <w:t xml:space="preserve"> a</w:t>
      </w:r>
      <w:r w:rsidR="00D313B2" w:rsidRPr="004E1191">
        <w:rPr>
          <w:rFonts w:ascii="Arial" w:hAnsi="Arial" w:cs="Arial"/>
          <w:color w:val="000000"/>
          <w:sz w:val="18"/>
          <w:szCs w:val="18"/>
        </w:rPr>
        <w:t xml:space="preserve"> </w:t>
      </w:r>
      <w:r w:rsidR="005F2B65">
        <w:rPr>
          <w:rFonts w:ascii="Arial" w:hAnsi="Arial" w:cs="Arial"/>
          <w:color w:val="000000"/>
          <w:sz w:val="18"/>
          <w:szCs w:val="18"/>
        </w:rPr>
        <w:t xml:space="preserve">residual concentration </w:t>
      </w:r>
      <w:r w:rsidR="00D313B2" w:rsidRPr="004E1191">
        <w:rPr>
          <w:rFonts w:ascii="Arial" w:hAnsi="Arial" w:cs="Arial"/>
          <w:color w:val="000000"/>
          <w:sz w:val="18"/>
          <w:szCs w:val="18"/>
        </w:rPr>
        <w:t xml:space="preserve">≤1 CFU/100 mL </w:t>
      </w:r>
      <w:r w:rsidR="005F2B65">
        <w:rPr>
          <w:rFonts w:ascii="Arial" w:hAnsi="Arial" w:cs="Arial"/>
          <w:color w:val="000000"/>
          <w:sz w:val="18"/>
          <w:szCs w:val="18"/>
        </w:rPr>
        <w:t xml:space="preserve">in the treated water </w:t>
      </w:r>
      <w:r w:rsidR="00D313B2" w:rsidRPr="004E1191">
        <w:rPr>
          <w:rFonts w:ascii="Arial" w:hAnsi="Arial" w:cs="Arial"/>
          <w:color w:val="000000"/>
          <w:sz w:val="18"/>
          <w:szCs w:val="18"/>
        </w:rPr>
        <w:t>(</w:t>
      </w:r>
      <w:r w:rsidR="00EE0F3F">
        <w:rPr>
          <w:rFonts w:ascii="Arial" w:hAnsi="Arial" w:cs="Arial"/>
          <w:color w:val="000000"/>
          <w:sz w:val="18"/>
          <w:szCs w:val="18"/>
        </w:rPr>
        <w:t>Target</w:t>
      </w:r>
      <w:r w:rsidR="00A2583B">
        <w:rPr>
          <w:rFonts w:ascii="Arial" w:hAnsi="Arial" w:cs="Arial"/>
          <w:color w:val="000000"/>
          <w:sz w:val="18"/>
          <w:szCs w:val="18"/>
        </w:rPr>
        <w:t xml:space="preserve"> B</w:t>
      </w:r>
      <w:r w:rsidR="00D313B2" w:rsidRPr="004E1191">
        <w:rPr>
          <w:rFonts w:ascii="Arial" w:hAnsi="Arial" w:cs="Arial"/>
          <w:color w:val="000000"/>
          <w:sz w:val="18"/>
          <w:szCs w:val="18"/>
        </w:rPr>
        <w:t>)</w:t>
      </w:r>
      <w:r w:rsidR="005F2B65">
        <w:rPr>
          <w:rFonts w:ascii="Arial" w:hAnsi="Arial" w:cs="Arial"/>
          <w:color w:val="000000"/>
          <w:sz w:val="18"/>
          <w:szCs w:val="18"/>
        </w:rPr>
        <w:t xml:space="preserve">, </w:t>
      </w:r>
      <w:r w:rsidR="005E0DB0">
        <w:rPr>
          <w:rFonts w:ascii="Arial" w:hAnsi="Arial" w:cs="Arial"/>
          <w:color w:val="000000"/>
          <w:sz w:val="18"/>
          <w:szCs w:val="18"/>
        </w:rPr>
        <w:t xml:space="preserve">both </w:t>
      </w:r>
      <w:r w:rsidR="005F2B65" w:rsidRPr="005F2B65">
        <w:rPr>
          <w:rFonts w:ascii="Arial" w:hAnsi="Arial" w:cs="Arial"/>
          <w:color w:val="000000"/>
          <w:sz w:val="18"/>
          <w:szCs w:val="18"/>
        </w:rPr>
        <w:t xml:space="preserve">with </w:t>
      </w:r>
      <w:r w:rsidR="008A1735">
        <w:rPr>
          <w:rFonts w:ascii="Arial" w:hAnsi="Arial" w:cs="Arial"/>
          <w:color w:val="000000"/>
          <w:sz w:val="18"/>
          <w:szCs w:val="18"/>
        </w:rPr>
        <w:t>&gt;</w:t>
      </w:r>
      <w:r w:rsidR="005F2B65" w:rsidRPr="005F2B65">
        <w:rPr>
          <w:rFonts w:ascii="Arial" w:hAnsi="Arial" w:cs="Arial"/>
          <w:color w:val="000000"/>
          <w:sz w:val="18"/>
          <w:szCs w:val="18"/>
        </w:rPr>
        <w:t>80% of BZT</w:t>
      </w:r>
      <w:r w:rsidR="005F2B65">
        <w:rPr>
          <w:rFonts w:ascii="Arial" w:hAnsi="Arial" w:cs="Arial"/>
          <w:color w:val="000000"/>
          <w:sz w:val="18"/>
          <w:szCs w:val="18"/>
        </w:rPr>
        <w:t xml:space="preserve"> </w:t>
      </w:r>
      <w:r w:rsidR="005F2B65" w:rsidRPr="005F2B65">
        <w:rPr>
          <w:rFonts w:ascii="Arial" w:hAnsi="Arial" w:cs="Arial"/>
          <w:color w:val="000000"/>
          <w:sz w:val="18"/>
          <w:szCs w:val="18"/>
        </w:rPr>
        <w:t>removal</w:t>
      </w:r>
      <w:r w:rsidR="008E3D30">
        <w:rPr>
          <w:rFonts w:ascii="Arial" w:hAnsi="Arial" w:cs="Arial"/>
          <w:color w:val="000000"/>
          <w:sz w:val="18"/>
          <w:szCs w:val="18"/>
        </w:rPr>
        <w:t>.</w:t>
      </w:r>
      <w:r w:rsidR="005F2B65">
        <w:rPr>
          <w:rFonts w:ascii="Arial" w:hAnsi="Arial" w:cs="Arial"/>
          <w:color w:val="000000"/>
          <w:sz w:val="18"/>
          <w:szCs w:val="18"/>
        </w:rPr>
        <w:t xml:space="preserve"> </w:t>
      </w:r>
    </w:p>
    <w:p w14:paraId="3B99878B"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Conclusions</w:t>
      </w:r>
    </w:p>
    <w:p w14:paraId="0BF1C062" w14:textId="447FB6B0" w:rsidR="0046127E" w:rsidRPr="00764572" w:rsidRDefault="00973EE2" w:rsidP="00ED2BEF">
      <w:pPr>
        <w:adjustRightInd w:val="0"/>
        <w:snapToGrid w:val="0"/>
        <w:spacing w:line="360" w:lineRule="auto"/>
        <w:ind w:firstLineChars="117" w:firstLine="281"/>
        <w:rPr>
          <w:color w:val="000000"/>
          <w:sz w:val="24"/>
        </w:rPr>
      </w:pPr>
      <w:r w:rsidRPr="00973EE2">
        <w:rPr>
          <w:color w:val="000000"/>
          <w:sz w:val="24"/>
        </w:rPr>
        <w:t>The model contributes to the mechanistic understanding of the SCPF process and enables optimization, thereby supporting the control and automation of RPR operation, ensuring compliance with new regulations while promoting economic and environmental sustainability</w:t>
      </w:r>
      <w:r w:rsidR="005C4388">
        <w:rPr>
          <w:color w:val="000000"/>
          <w:sz w:val="24"/>
        </w:rPr>
        <w:t>.</w:t>
      </w:r>
    </w:p>
    <w:p w14:paraId="546E34C2" w14:textId="77777777" w:rsidR="00526F63" w:rsidRDefault="00526F63">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sidRPr="00526F63">
        <w:rPr>
          <w:rFonts w:ascii="Arial" w:hAnsi="Arial" w:cs="Arial"/>
          <w:b/>
          <w:bCs/>
          <w:sz w:val="24"/>
        </w:rPr>
        <w:t>Acknowledgements</w:t>
      </w:r>
    </w:p>
    <w:p w14:paraId="22EAE96B" w14:textId="77777777" w:rsidR="00163D6E" w:rsidRPr="003A6F96" w:rsidRDefault="00F45D55" w:rsidP="003A6F96">
      <w:pPr>
        <w:adjustRightInd w:val="0"/>
        <w:snapToGrid w:val="0"/>
        <w:spacing w:line="360" w:lineRule="auto"/>
        <w:ind w:firstLineChars="117" w:firstLine="281"/>
        <w:rPr>
          <w:color w:val="000000"/>
          <w:sz w:val="24"/>
        </w:rPr>
      </w:pPr>
      <w:r w:rsidRPr="003A6F96">
        <w:rPr>
          <w:color w:val="000000"/>
          <w:sz w:val="24"/>
        </w:rPr>
        <w:t>The authors acknowledge the contribution of the NEREIDAS (P_LANZ_2024/011, PPIT-UAL), CAFIRA (</w:t>
      </w:r>
      <w:hyperlink r:id="rId9" w:anchor="spnsr4" w:history="1">
        <w:r w:rsidRPr="003A6F96">
          <w:rPr>
            <w:color w:val="000000"/>
            <w:sz w:val="24"/>
          </w:rPr>
          <w:t>PID2023-152519OB-I00</w:t>
        </w:r>
      </w:hyperlink>
      <w:r w:rsidRPr="003A6F96">
        <w:rPr>
          <w:color w:val="000000"/>
          <w:sz w:val="24"/>
        </w:rPr>
        <w:t xml:space="preserve">) and INACUA </w:t>
      </w:r>
      <w:r w:rsidR="0054131A" w:rsidRPr="003A6F96">
        <w:rPr>
          <w:color w:val="000000"/>
          <w:sz w:val="24"/>
        </w:rPr>
        <w:t xml:space="preserve">(PLSQ_00330) </w:t>
      </w:r>
      <w:r w:rsidRPr="003A6F96">
        <w:rPr>
          <w:color w:val="000000"/>
          <w:sz w:val="24"/>
        </w:rPr>
        <w:t>projects.</w:t>
      </w:r>
    </w:p>
    <w:p w14:paraId="290979C6"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References</w:t>
      </w:r>
    </w:p>
    <w:p w14:paraId="6B917AD7" w14:textId="624099C8" w:rsidR="0054131A" w:rsidRPr="00526F63" w:rsidRDefault="00B819A2" w:rsidP="00CE3AAC">
      <w:pPr>
        <w:adjustRightInd w:val="0"/>
        <w:snapToGrid w:val="0"/>
        <w:ind w:firstLineChars="117" w:firstLine="234"/>
        <w:rPr>
          <w:rFonts w:ascii="Arial" w:hAnsi="Arial" w:cs="Arial"/>
          <w:color w:val="000000"/>
          <w:sz w:val="20"/>
          <w:szCs w:val="20"/>
        </w:rPr>
      </w:pPr>
      <w:r>
        <w:rPr>
          <w:rFonts w:ascii="Arial" w:hAnsi="Arial" w:cs="Arial"/>
          <w:color w:val="000000"/>
          <w:sz w:val="20"/>
          <w:szCs w:val="20"/>
        </w:rPr>
        <w:t xml:space="preserve">EU </w:t>
      </w:r>
      <w:r w:rsidR="00CE3AAC" w:rsidRPr="00526F63">
        <w:rPr>
          <w:rFonts w:ascii="Arial" w:hAnsi="Arial" w:cs="Arial"/>
          <w:color w:val="000000"/>
          <w:sz w:val="20"/>
          <w:szCs w:val="20"/>
        </w:rPr>
        <w:t>Directive</w:t>
      </w:r>
      <w:r>
        <w:rPr>
          <w:rFonts w:ascii="Arial" w:hAnsi="Arial" w:cs="Arial"/>
          <w:color w:val="000000"/>
          <w:sz w:val="20"/>
          <w:szCs w:val="20"/>
        </w:rPr>
        <w:t xml:space="preserve"> </w:t>
      </w:r>
      <w:r w:rsidR="00CE3AAC" w:rsidRPr="00526F63">
        <w:rPr>
          <w:rFonts w:ascii="Arial" w:hAnsi="Arial" w:cs="Arial"/>
          <w:color w:val="000000"/>
          <w:sz w:val="20"/>
          <w:szCs w:val="20"/>
        </w:rPr>
        <w:t>2024/3019</w:t>
      </w:r>
      <w:r w:rsidR="007C1306">
        <w:rPr>
          <w:rFonts w:ascii="Arial" w:hAnsi="Arial" w:cs="Arial"/>
          <w:color w:val="000000"/>
          <w:sz w:val="20"/>
          <w:szCs w:val="20"/>
        </w:rPr>
        <w:t xml:space="preserve"> </w:t>
      </w:r>
      <w:r w:rsidR="00CE3AAC" w:rsidRPr="00526F63">
        <w:rPr>
          <w:rFonts w:ascii="Arial" w:hAnsi="Arial" w:cs="Arial"/>
          <w:color w:val="000000"/>
          <w:sz w:val="20"/>
          <w:szCs w:val="20"/>
        </w:rPr>
        <w:t>of the European Parliament and of the Council of 27 November 2024 concerning urban wastewater treatment</w:t>
      </w:r>
      <w:r w:rsidR="00EC782C">
        <w:rPr>
          <w:rFonts w:ascii="Arial" w:hAnsi="Arial" w:cs="Arial"/>
          <w:color w:val="000000"/>
          <w:sz w:val="20"/>
          <w:szCs w:val="20"/>
        </w:rPr>
        <w:t xml:space="preserve">. </w:t>
      </w:r>
      <w:r w:rsidR="00EC782C" w:rsidRPr="00E82FEE">
        <w:rPr>
          <w:rFonts w:ascii="Arial" w:hAnsi="Arial" w:cs="Arial"/>
          <w:color w:val="000000"/>
          <w:sz w:val="20"/>
          <w:szCs w:val="20"/>
        </w:rPr>
        <w:t>Off. J. Eur. Union</w:t>
      </w:r>
      <w:r w:rsidR="00EC782C">
        <w:rPr>
          <w:rFonts w:ascii="Arial" w:hAnsi="Arial" w:cs="Arial"/>
          <w:color w:val="000000"/>
          <w:sz w:val="20"/>
          <w:szCs w:val="20"/>
        </w:rPr>
        <w:t xml:space="preserve">, </w:t>
      </w:r>
      <w:r w:rsidR="00CE3AAC" w:rsidRPr="00526F63">
        <w:rPr>
          <w:rFonts w:ascii="Arial" w:hAnsi="Arial" w:cs="Arial"/>
          <w:color w:val="000000"/>
          <w:sz w:val="20"/>
          <w:szCs w:val="20"/>
        </w:rPr>
        <w:t>12.12.2024.</w:t>
      </w:r>
    </w:p>
    <w:p w14:paraId="4722891C" w14:textId="0E95ED4B" w:rsidR="00CE3AAC" w:rsidRPr="00526F63" w:rsidRDefault="00CE3AAC" w:rsidP="00E82FEE">
      <w:pPr>
        <w:adjustRightInd w:val="0"/>
        <w:snapToGrid w:val="0"/>
        <w:ind w:firstLineChars="117" w:firstLine="234"/>
        <w:rPr>
          <w:rFonts w:ascii="Arial" w:hAnsi="Arial" w:cs="Arial"/>
          <w:color w:val="000000"/>
          <w:sz w:val="20"/>
          <w:szCs w:val="20"/>
        </w:rPr>
      </w:pPr>
      <w:r w:rsidRPr="00526F63">
        <w:rPr>
          <w:rFonts w:ascii="Arial" w:hAnsi="Arial" w:cs="Arial"/>
          <w:color w:val="000000"/>
          <w:sz w:val="20"/>
          <w:szCs w:val="20"/>
        </w:rPr>
        <w:t xml:space="preserve">EU </w:t>
      </w:r>
      <w:r w:rsidR="00B819A2">
        <w:rPr>
          <w:rFonts w:ascii="Arial" w:hAnsi="Arial" w:cs="Arial"/>
          <w:color w:val="000000"/>
          <w:sz w:val="20"/>
          <w:szCs w:val="20"/>
        </w:rPr>
        <w:t xml:space="preserve">Regulation </w:t>
      </w:r>
      <w:r w:rsidRPr="00526F63">
        <w:rPr>
          <w:rFonts w:ascii="Arial" w:hAnsi="Arial" w:cs="Arial"/>
          <w:color w:val="000000"/>
          <w:sz w:val="20"/>
          <w:szCs w:val="20"/>
        </w:rPr>
        <w:t>2020/741 of the European Parliament and of the Council of 15 May 2020 on minimum requirements for water reuse</w:t>
      </w:r>
      <w:r w:rsidR="00E82FEE">
        <w:rPr>
          <w:rFonts w:ascii="Arial" w:hAnsi="Arial" w:cs="Arial"/>
          <w:color w:val="000000"/>
          <w:sz w:val="20"/>
          <w:szCs w:val="20"/>
        </w:rPr>
        <w:t xml:space="preserve">. </w:t>
      </w:r>
      <w:r w:rsidR="00E82FEE" w:rsidRPr="00E82FEE">
        <w:rPr>
          <w:rFonts w:ascii="Arial" w:hAnsi="Arial" w:cs="Arial"/>
          <w:color w:val="000000"/>
          <w:sz w:val="20"/>
          <w:szCs w:val="20"/>
        </w:rPr>
        <w:t xml:space="preserve">Off. J. Eur. Union </w:t>
      </w:r>
      <w:r w:rsidR="00E82FEE">
        <w:rPr>
          <w:rFonts w:ascii="Arial" w:hAnsi="Arial" w:cs="Arial"/>
          <w:color w:val="000000"/>
          <w:sz w:val="20"/>
          <w:szCs w:val="20"/>
        </w:rPr>
        <w:t>(</w:t>
      </w:r>
      <w:r w:rsidR="00E82FEE" w:rsidRPr="00E82FEE">
        <w:rPr>
          <w:rFonts w:ascii="Arial" w:hAnsi="Arial" w:cs="Arial"/>
          <w:color w:val="000000"/>
          <w:sz w:val="20"/>
          <w:szCs w:val="20"/>
        </w:rPr>
        <w:t>177/32</w:t>
      </w:r>
      <w:r w:rsidR="00E82FEE">
        <w:rPr>
          <w:rFonts w:ascii="Arial" w:hAnsi="Arial" w:cs="Arial"/>
          <w:color w:val="000000"/>
          <w:sz w:val="20"/>
          <w:szCs w:val="20"/>
        </w:rPr>
        <w:t>)</w:t>
      </w:r>
      <w:r w:rsidR="00E82FEE" w:rsidRPr="00E82FEE">
        <w:rPr>
          <w:rFonts w:ascii="Arial" w:hAnsi="Arial" w:cs="Arial"/>
          <w:color w:val="000000"/>
          <w:sz w:val="20"/>
          <w:szCs w:val="20"/>
        </w:rPr>
        <w:t>, 5.6.2020</w:t>
      </w:r>
      <w:r w:rsidR="00E82FEE">
        <w:rPr>
          <w:rFonts w:ascii="Arial" w:hAnsi="Arial" w:cs="Arial"/>
          <w:color w:val="000000"/>
          <w:sz w:val="20"/>
          <w:szCs w:val="20"/>
        </w:rPr>
        <w:t>.</w:t>
      </w:r>
    </w:p>
    <w:sectPr w:rsidR="00CE3AAC" w:rsidRPr="00526F63">
      <w:headerReference w:type="default" r:id="rId10"/>
      <w:footerReference w:type="default" r:id="rId11"/>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1D344" w14:textId="77777777" w:rsidR="009B52B6" w:rsidRDefault="009B52B6">
      <w:r>
        <w:separator/>
      </w:r>
    </w:p>
  </w:endnote>
  <w:endnote w:type="continuationSeparator" w:id="0">
    <w:p w14:paraId="2C8FFB81" w14:textId="77777777" w:rsidR="009B52B6" w:rsidRDefault="009B5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2C2E2" w14:textId="79692720" w:rsidR="00163D6E" w:rsidRDefault="001527AB">
    <w:pPr>
      <w:pStyle w:val="Footer"/>
      <w:jc w:val="center"/>
      <w:rPr>
        <w:sz w:val="20"/>
        <w:szCs w:val="20"/>
      </w:rPr>
    </w:pPr>
    <w:r>
      <w:rPr>
        <w:noProof/>
        <w:sz w:val="20"/>
      </w:rPr>
      <mc:AlternateContent>
        <mc:Choice Requires="wps">
          <w:drawing>
            <wp:anchor distT="0" distB="0" distL="114300" distR="114300" simplePos="0" relativeHeight="251657728" behindDoc="0" locked="0" layoutInCell="1" allowOverlap="1" wp14:anchorId="57F152EC" wp14:editId="0DCC8078">
              <wp:simplePos x="0" y="0"/>
              <wp:positionH relativeFrom="margin">
                <wp:align>center</wp:align>
              </wp:positionH>
              <wp:positionV relativeFrom="paragraph">
                <wp:posOffset>0</wp:posOffset>
              </wp:positionV>
              <wp:extent cx="57785" cy="131445"/>
              <wp:effectExtent l="0" t="3175" r="1905" b="0"/>
              <wp:wrapNone/>
              <wp:docPr id="174793597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60070252" w14:textId="77777777" w:rsidR="00163D6E" w:rsidRDefault="00163D6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7F152EC" id="_x0000_t202" coordsize="21600,21600" o:spt="202" path="m,l,21600r21600,l21600,xe">
              <v:stroke joinstyle="miter"/>
              <v:path gradientshapeok="t" o:connecttype="rect"/>
            </v:shapetype>
            <v:shape id="文本框 1" o:spid="_x0000_s1026" type="#_x0000_t202" style="position:absolute;left:0;text-align:left;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" filled="f" stroked="f" strokeweight="1.25pt">
              <v:textbox style="mso-fit-shape-to-text:t" inset="0,0,0,0">
                <w:txbxContent>
                  <w:p w14:paraId="60070252" w14:textId="77777777" w:rsidR="00163D6E" w:rsidRDefault="00163D6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5A31B" w14:textId="77777777" w:rsidR="009B52B6" w:rsidRDefault="009B52B6">
      <w:r>
        <w:separator/>
      </w:r>
    </w:p>
  </w:footnote>
  <w:footnote w:type="continuationSeparator" w:id="0">
    <w:p w14:paraId="16333B60" w14:textId="77777777" w:rsidR="009B52B6" w:rsidRDefault="009B52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479C" w14:textId="77777777" w:rsidR="00163D6E" w:rsidRDefault="00163D6E">
    <w:pPr>
      <w:pStyle w:val="Header"/>
      <w:rPr>
        <w:color w:val="444444"/>
      </w:rPr>
    </w:pPr>
    <w:r>
      <w:rPr>
        <w:color w:val="444444"/>
      </w:rPr>
      <w:t>5th International Conference on Disinfection and DBPs: Advancements in Disinfection Systems Towards Safe Drinking Water and Water Reuse</w:t>
    </w:r>
  </w:p>
  <w:p w14:paraId="0CC3E692" w14:textId="77777777" w:rsidR="00163D6E" w:rsidRDefault="00163D6E">
    <w:pPr>
      <w:pStyle w:val="Header"/>
    </w:pPr>
    <w:r>
      <w:rPr>
        <w:rFonts w:hint="eastAsia"/>
        <w:color w:val="444444"/>
      </w:rPr>
      <w:t>Shanghai</w:t>
    </w:r>
    <w:r>
      <w:rPr>
        <w:color w:val="444444"/>
      </w:rPr>
      <w:t>, China,</w:t>
    </w:r>
    <w:r>
      <w:rPr>
        <w:rFonts w:hint="eastAsia"/>
        <w:color w:val="444444"/>
      </w:rPr>
      <w:t xml:space="preserve"> July 7th to 11th,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hyphenationZone w:val="425"/>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0FC"/>
    <w:rsid w:val="00001629"/>
    <w:rsid w:val="00015AA9"/>
    <w:rsid w:val="0002224C"/>
    <w:rsid w:val="000327EB"/>
    <w:rsid w:val="000402A8"/>
    <w:rsid w:val="00050E16"/>
    <w:rsid w:val="000541C1"/>
    <w:rsid w:val="00056277"/>
    <w:rsid w:val="000740CE"/>
    <w:rsid w:val="000755F5"/>
    <w:rsid w:val="00080757"/>
    <w:rsid w:val="000A105F"/>
    <w:rsid w:val="000B5F02"/>
    <w:rsid w:val="000C0A4F"/>
    <w:rsid w:val="000D0DC5"/>
    <w:rsid w:val="000D360C"/>
    <w:rsid w:val="000D5440"/>
    <w:rsid w:val="000E46B5"/>
    <w:rsid w:val="0011364C"/>
    <w:rsid w:val="00114745"/>
    <w:rsid w:val="00117AE8"/>
    <w:rsid w:val="00117D46"/>
    <w:rsid w:val="001211A2"/>
    <w:rsid w:val="00131DB0"/>
    <w:rsid w:val="00132A72"/>
    <w:rsid w:val="00143C40"/>
    <w:rsid w:val="00143C5D"/>
    <w:rsid w:val="001473D4"/>
    <w:rsid w:val="00150D8E"/>
    <w:rsid w:val="001527AB"/>
    <w:rsid w:val="00161AE0"/>
    <w:rsid w:val="00163D6E"/>
    <w:rsid w:val="001653EA"/>
    <w:rsid w:val="00165757"/>
    <w:rsid w:val="00181740"/>
    <w:rsid w:val="00183BA6"/>
    <w:rsid w:val="001A27AC"/>
    <w:rsid w:val="001A6DEC"/>
    <w:rsid w:val="001B4ED9"/>
    <w:rsid w:val="001B5CAA"/>
    <w:rsid w:val="001B6021"/>
    <w:rsid w:val="001B662A"/>
    <w:rsid w:val="001C0322"/>
    <w:rsid w:val="001C3237"/>
    <w:rsid w:val="001E2E79"/>
    <w:rsid w:val="001F04B1"/>
    <w:rsid w:val="001F3B95"/>
    <w:rsid w:val="00201A0F"/>
    <w:rsid w:val="00206867"/>
    <w:rsid w:val="00212C4A"/>
    <w:rsid w:val="00216812"/>
    <w:rsid w:val="0022397C"/>
    <w:rsid w:val="00234698"/>
    <w:rsid w:val="00246FCA"/>
    <w:rsid w:val="00292733"/>
    <w:rsid w:val="002B6D66"/>
    <w:rsid w:val="002C0245"/>
    <w:rsid w:val="002C4E09"/>
    <w:rsid w:val="002C6C53"/>
    <w:rsid w:val="002D3718"/>
    <w:rsid w:val="002E7AD2"/>
    <w:rsid w:val="002F3896"/>
    <w:rsid w:val="00306884"/>
    <w:rsid w:val="00314F38"/>
    <w:rsid w:val="00337768"/>
    <w:rsid w:val="0034417C"/>
    <w:rsid w:val="00345750"/>
    <w:rsid w:val="00354394"/>
    <w:rsid w:val="003638BC"/>
    <w:rsid w:val="00365387"/>
    <w:rsid w:val="00393CDF"/>
    <w:rsid w:val="003A3C1B"/>
    <w:rsid w:val="003A6F96"/>
    <w:rsid w:val="003A70CF"/>
    <w:rsid w:val="003B6E46"/>
    <w:rsid w:val="003E247D"/>
    <w:rsid w:val="003F4D90"/>
    <w:rsid w:val="00403B08"/>
    <w:rsid w:val="0041412E"/>
    <w:rsid w:val="004201D9"/>
    <w:rsid w:val="00423F5E"/>
    <w:rsid w:val="00434022"/>
    <w:rsid w:val="00443766"/>
    <w:rsid w:val="004563A9"/>
    <w:rsid w:val="0046127E"/>
    <w:rsid w:val="00462302"/>
    <w:rsid w:val="004746D6"/>
    <w:rsid w:val="00475BA7"/>
    <w:rsid w:val="00480F98"/>
    <w:rsid w:val="00491BB5"/>
    <w:rsid w:val="004962CB"/>
    <w:rsid w:val="004A41C5"/>
    <w:rsid w:val="004B66DF"/>
    <w:rsid w:val="004C726E"/>
    <w:rsid w:val="004C774E"/>
    <w:rsid w:val="004C7E6A"/>
    <w:rsid w:val="004E1191"/>
    <w:rsid w:val="004E49CC"/>
    <w:rsid w:val="004F04A3"/>
    <w:rsid w:val="004F0B66"/>
    <w:rsid w:val="004F5761"/>
    <w:rsid w:val="0050370F"/>
    <w:rsid w:val="005173C1"/>
    <w:rsid w:val="00522E8E"/>
    <w:rsid w:val="00526C77"/>
    <w:rsid w:val="00526F63"/>
    <w:rsid w:val="00532E1E"/>
    <w:rsid w:val="0054131A"/>
    <w:rsid w:val="00542372"/>
    <w:rsid w:val="005473C6"/>
    <w:rsid w:val="005536B9"/>
    <w:rsid w:val="005550F4"/>
    <w:rsid w:val="00565735"/>
    <w:rsid w:val="00566637"/>
    <w:rsid w:val="005735A6"/>
    <w:rsid w:val="00573D66"/>
    <w:rsid w:val="00585E49"/>
    <w:rsid w:val="005A2154"/>
    <w:rsid w:val="005B1C44"/>
    <w:rsid w:val="005B1D6F"/>
    <w:rsid w:val="005B45BC"/>
    <w:rsid w:val="005B4F94"/>
    <w:rsid w:val="005B56E5"/>
    <w:rsid w:val="005C1B6D"/>
    <w:rsid w:val="005C4388"/>
    <w:rsid w:val="005C6239"/>
    <w:rsid w:val="005D54EF"/>
    <w:rsid w:val="005E0DB0"/>
    <w:rsid w:val="005F2B65"/>
    <w:rsid w:val="00600593"/>
    <w:rsid w:val="00601231"/>
    <w:rsid w:val="0060457F"/>
    <w:rsid w:val="00606F69"/>
    <w:rsid w:val="00616485"/>
    <w:rsid w:val="00635DE3"/>
    <w:rsid w:val="00635E34"/>
    <w:rsid w:val="006479A7"/>
    <w:rsid w:val="006523A2"/>
    <w:rsid w:val="00662C8D"/>
    <w:rsid w:val="006650FC"/>
    <w:rsid w:val="00674AD1"/>
    <w:rsid w:val="00675C1B"/>
    <w:rsid w:val="00683254"/>
    <w:rsid w:val="006956A6"/>
    <w:rsid w:val="006A2ED4"/>
    <w:rsid w:val="006A6B39"/>
    <w:rsid w:val="006B5473"/>
    <w:rsid w:val="006C3261"/>
    <w:rsid w:val="006D6FEB"/>
    <w:rsid w:val="006E6628"/>
    <w:rsid w:val="006E7FF9"/>
    <w:rsid w:val="0070096C"/>
    <w:rsid w:val="00701C8B"/>
    <w:rsid w:val="00707557"/>
    <w:rsid w:val="00710195"/>
    <w:rsid w:val="00713E5F"/>
    <w:rsid w:val="007215DC"/>
    <w:rsid w:val="007261B6"/>
    <w:rsid w:val="00730A6C"/>
    <w:rsid w:val="00735D95"/>
    <w:rsid w:val="00740473"/>
    <w:rsid w:val="00745EEA"/>
    <w:rsid w:val="00752D9C"/>
    <w:rsid w:val="00756CA5"/>
    <w:rsid w:val="00764572"/>
    <w:rsid w:val="00764D9F"/>
    <w:rsid w:val="00772EE7"/>
    <w:rsid w:val="00775E3C"/>
    <w:rsid w:val="007904B7"/>
    <w:rsid w:val="007A04DD"/>
    <w:rsid w:val="007A4E44"/>
    <w:rsid w:val="007C1306"/>
    <w:rsid w:val="007D44C6"/>
    <w:rsid w:val="007E51DD"/>
    <w:rsid w:val="00810E32"/>
    <w:rsid w:val="00811153"/>
    <w:rsid w:val="00833CCA"/>
    <w:rsid w:val="00872E95"/>
    <w:rsid w:val="008740E1"/>
    <w:rsid w:val="00884FCF"/>
    <w:rsid w:val="008859BC"/>
    <w:rsid w:val="0088769D"/>
    <w:rsid w:val="008A1735"/>
    <w:rsid w:val="008A390E"/>
    <w:rsid w:val="008B5C00"/>
    <w:rsid w:val="008B7260"/>
    <w:rsid w:val="008D0559"/>
    <w:rsid w:val="008D4590"/>
    <w:rsid w:val="008E3C71"/>
    <w:rsid w:val="008E3D30"/>
    <w:rsid w:val="008E45E1"/>
    <w:rsid w:val="008E4E75"/>
    <w:rsid w:val="008F6CE2"/>
    <w:rsid w:val="009020D4"/>
    <w:rsid w:val="009109E8"/>
    <w:rsid w:val="00911D25"/>
    <w:rsid w:val="009162C1"/>
    <w:rsid w:val="00922196"/>
    <w:rsid w:val="0092239F"/>
    <w:rsid w:val="009245F3"/>
    <w:rsid w:val="00925DAD"/>
    <w:rsid w:val="009400C3"/>
    <w:rsid w:val="0094231D"/>
    <w:rsid w:val="00952A04"/>
    <w:rsid w:val="009545B3"/>
    <w:rsid w:val="00955046"/>
    <w:rsid w:val="009634AA"/>
    <w:rsid w:val="00966FAE"/>
    <w:rsid w:val="00972B45"/>
    <w:rsid w:val="00973EE2"/>
    <w:rsid w:val="009746E8"/>
    <w:rsid w:val="00980CEA"/>
    <w:rsid w:val="009B516D"/>
    <w:rsid w:val="009B52B6"/>
    <w:rsid w:val="009D5744"/>
    <w:rsid w:val="009E2212"/>
    <w:rsid w:val="009F3673"/>
    <w:rsid w:val="009F5218"/>
    <w:rsid w:val="00A00287"/>
    <w:rsid w:val="00A00A41"/>
    <w:rsid w:val="00A0376E"/>
    <w:rsid w:val="00A136F6"/>
    <w:rsid w:val="00A13D53"/>
    <w:rsid w:val="00A15124"/>
    <w:rsid w:val="00A15678"/>
    <w:rsid w:val="00A2583B"/>
    <w:rsid w:val="00A36183"/>
    <w:rsid w:val="00A37883"/>
    <w:rsid w:val="00A40D24"/>
    <w:rsid w:val="00A479F0"/>
    <w:rsid w:val="00A515F3"/>
    <w:rsid w:val="00A54E2A"/>
    <w:rsid w:val="00A654A1"/>
    <w:rsid w:val="00A701CA"/>
    <w:rsid w:val="00A80816"/>
    <w:rsid w:val="00AA39C9"/>
    <w:rsid w:val="00AA41A2"/>
    <w:rsid w:val="00AA7DF3"/>
    <w:rsid w:val="00AB542D"/>
    <w:rsid w:val="00AC484D"/>
    <w:rsid w:val="00AC7CB1"/>
    <w:rsid w:val="00AD113A"/>
    <w:rsid w:val="00AD24B9"/>
    <w:rsid w:val="00AD26C4"/>
    <w:rsid w:val="00AD3DDC"/>
    <w:rsid w:val="00AD7862"/>
    <w:rsid w:val="00AE4420"/>
    <w:rsid w:val="00AE7FE2"/>
    <w:rsid w:val="00AF378A"/>
    <w:rsid w:val="00B01250"/>
    <w:rsid w:val="00B130A2"/>
    <w:rsid w:val="00B13986"/>
    <w:rsid w:val="00B2375B"/>
    <w:rsid w:val="00B256CE"/>
    <w:rsid w:val="00B279D3"/>
    <w:rsid w:val="00B4013F"/>
    <w:rsid w:val="00B57AEB"/>
    <w:rsid w:val="00B66081"/>
    <w:rsid w:val="00B6748E"/>
    <w:rsid w:val="00B753D1"/>
    <w:rsid w:val="00B773AA"/>
    <w:rsid w:val="00B819A2"/>
    <w:rsid w:val="00B871CF"/>
    <w:rsid w:val="00B87F5D"/>
    <w:rsid w:val="00B92744"/>
    <w:rsid w:val="00BA6EE8"/>
    <w:rsid w:val="00BB02D0"/>
    <w:rsid w:val="00BB2398"/>
    <w:rsid w:val="00BB2C91"/>
    <w:rsid w:val="00BC6C3F"/>
    <w:rsid w:val="00BE22B2"/>
    <w:rsid w:val="00BE305C"/>
    <w:rsid w:val="00BF28B1"/>
    <w:rsid w:val="00BF3348"/>
    <w:rsid w:val="00BF468A"/>
    <w:rsid w:val="00C06026"/>
    <w:rsid w:val="00C141F9"/>
    <w:rsid w:val="00C20C69"/>
    <w:rsid w:val="00C22319"/>
    <w:rsid w:val="00C3101E"/>
    <w:rsid w:val="00C3103A"/>
    <w:rsid w:val="00C31242"/>
    <w:rsid w:val="00C32AD0"/>
    <w:rsid w:val="00C52475"/>
    <w:rsid w:val="00C65C66"/>
    <w:rsid w:val="00C73C66"/>
    <w:rsid w:val="00C75D6E"/>
    <w:rsid w:val="00C764A1"/>
    <w:rsid w:val="00CA43AF"/>
    <w:rsid w:val="00CB2F7F"/>
    <w:rsid w:val="00CB4197"/>
    <w:rsid w:val="00CC46A3"/>
    <w:rsid w:val="00CC7027"/>
    <w:rsid w:val="00CD0CA9"/>
    <w:rsid w:val="00CD3244"/>
    <w:rsid w:val="00CE3AAC"/>
    <w:rsid w:val="00CF40B7"/>
    <w:rsid w:val="00D138A2"/>
    <w:rsid w:val="00D13C13"/>
    <w:rsid w:val="00D15496"/>
    <w:rsid w:val="00D23696"/>
    <w:rsid w:val="00D25707"/>
    <w:rsid w:val="00D313B2"/>
    <w:rsid w:val="00D65033"/>
    <w:rsid w:val="00D67891"/>
    <w:rsid w:val="00D83EDB"/>
    <w:rsid w:val="00D9745B"/>
    <w:rsid w:val="00DA1E08"/>
    <w:rsid w:val="00DB137C"/>
    <w:rsid w:val="00DB3F18"/>
    <w:rsid w:val="00DB5ACF"/>
    <w:rsid w:val="00DB67EF"/>
    <w:rsid w:val="00DB69B0"/>
    <w:rsid w:val="00DC33E3"/>
    <w:rsid w:val="00DD1EF1"/>
    <w:rsid w:val="00DD7880"/>
    <w:rsid w:val="00DE6840"/>
    <w:rsid w:val="00DF0D5C"/>
    <w:rsid w:val="00DF504C"/>
    <w:rsid w:val="00DF7C3A"/>
    <w:rsid w:val="00E015B7"/>
    <w:rsid w:val="00E06734"/>
    <w:rsid w:val="00E138B0"/>
    <w:rsid w:val="00E20DD1"/>
    <w:rsid w:val="00E24BB1"/>
    <w:rsid w:val="00E35FC2"/>
    <w:rsid w:val="00E532EF"/>
    <w:rsid w:val="00E55F95"/>
    <w:rsid w:val="00E60640"/>
    <w:rsid w:val="00E653CC"/>
    <w:rsid w:val="00E70205"/>
    <w:rsid w:val="00E822BE"/>
    <w:rsid w:val="00E82FEE"/>
    <w:rsid w:val="00E83955"/>
    <w:rsid w:val="00E87F75"/>
    <w:rsid w:val="00EA02FA"/>
    <w:rsid w:val="00EA4AF9"/>
    <w:rsid w:val="00EB0ECE"/>
    <w:rsid w:val="00EB37F7"/>
    <w:rsid w:val="00EB38D8"/>
    <w:rsid w:val="00EC7118"/>
    <w:rsid w:val="00EC782C"/>
    <w:rsid w:val="00ED20A6"/>
    <w:rsid w:val="00ED2BEF"/>
    <w:rsid w:val="00ED2E83"/>
    <w:rsid w:val="00EE0F3F"/>
    <w:rsid w:val="00EE3BE2"/>
    <w:rsid w:val="00EE76AB"/>
    <w:rsid w:val="00F0487B"/>
    <w:rsid w:val="00F04986"/>
    <w:rsid w:val="00F067D0"/>
    <w:rsid w:val="00F111C6"/>
    <w:rsid w:val="00F253F3"/>
    <w:rsid w:val="00F43602"/>
    <w:rsid w:val="00F45D55"/>
    <w:rsid w:val="00F508BE"/>
    <w:rsid w:val="00F56135"/>
    <w:rsid w:val="00F56864"/>
    <w:rsid w:val="00F705A7"/>
    <w:rsid w:val="00F71B97"/>
    <w:rsid w:val="00F83AA0"/>
    <w:rsid w:val="00FA542D"/>
    <w:rsid w:val="00FB1CF1"/>
    <w:rsid w:val="00FB48CA"/>
    <w:rsid w:val="00FB7F29"/>
    <w:rsid w:val="00FC1E37"/>
    <w:rsid w:val="00FC2694"/>
    <w:rsid w:val="00FC56B8"/>
    <w:rsid w:val="00FC6083"/>
    <w:rsid w:val="00FD1AB9"/>
    <w:rsid w:val="00FD32CE"/>
    <w:rsid w:val="00FF2739"/>
    <w:rsid w:val="00FF3DFB"/>
    <w:rsid w:val="04A80D30"/>
    <w:rsid w:val="0CE6655D"/>
    <w:rsid w:val="11BC23DE"/>
    <w:rsid w:val="156A5AB1"/>
    <w:rsid w:val="25533ABB"/>
    <w:rsid w:val="45193A0F"/>
    <w:rsid w:val="59D02953"/>
    <w:rsid w:val="5C93552F"/>
    <w:rsid w:val="5E514D99"/>
    <w:rsid w:val="61D34332"/>
    <w:rsid w:val="64BD75EC"/>
    <w:rsid w:val="66D21888"/>
    <w:rsid w:val="70BA03DF"/>
    <w:rsid w:val="75530582"/>
    <w:rsid w:val="7BB92D69"/>
    <w:rsid w:val="7F176A1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5DD72666"/>
  <w15:chartTrackingRefBased/>
  <w15:docId w15:val="{F1F94F6E-818A-4DB5-906A-C78920EF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kern w:val="2"/>
      <w:sz w:val="21"/>
      <w:szCs w:val="24"/>
      <w:lang w:val="en-US" w:eastAsia="zh-CN"/>
    </w:rPr>
  </w:style>
  <w:style w:type="paragraph" w:styleId="Heading1">
    <w:name w:val="heading 1"/>
    <w:basedOn w:val="Normal"/>
    <w:next w:val="Normal"/>
    <w:link w:val="Heading1Char"/>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b/>
      <w:bCs/>
      <w:kern w:val="44"/>
      <w:sz w:val="44"/>
      <w:szCs w:val="44"/>
    </w:rPr>
  </w:style>
  <w:style w:type="paragraph" w:styleId="DocumentMap">
    <w:name w:val="Document Map"/>
    <w:basedOn w:val="Normal"/>
    <w:link w:val="DocumentMapChar"/>
    <w:rPr>
      <w:rFonts w:ascii="SimSun"/>
      <w:sz w:val="18"/>
      <w:szCs w:val="18"/>
    </w:rPr>
  </w:style>
  <w:style w:type="character" w:customStyle="1" w:styleId="DocumentMapChar">
    <w:name w:val="Document Map Char"/>
    <w:link w:val="DocumentMap"/>
    <w:rPr>
      <w:rFonts w:ascii="SimSun"/>
      <w:kern w:val="2"/>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rPr>
      <w:sz w:val="24"/>
    </w:rPr>
  </w:style>
  <w:style w:type="character" w:styleId="PageNumber">
    <w:name w:val="page number"/>
  </w:style>
  <w:style w:type="paragraph" w:customStyle="1" w:styleId="IWAHeading">
    <w:name w:val="(IWA) Heading"/>
    <w:basedOn w:val="Heading1"/>
    <w:next w:val="IWAFirstparagraph"/>
    <w:pPr>
      <w:keepLines w:val="0"/>
      <w:widowControl/>
      <w:suppressLineNumbers/>
      <w:tabs>
        <w:tab w:val="left" w:pos="414"/>
      </w:tabs>
      <w:overflowPunct w:val="0"/>
      <w:autoSpaceDE w:val="0"/>
      <w:autoSpaceDN w:val="0"/>
      <w:adjustRightInd w:val="0"/>
      <w:spacing w:before="320" w:after="120" w:line="320" w:lineRule="atLeast"/>
      <w:ind w:left="420" w:hanging="420"/>
      <w:jc w:val="left"/>
      <w:textAlignment w:val="baseline"/>
    </w:pPr>
    <w:rPr>
      <w:rFonts w:ascii="Arial" w:hAnsi="Arial" w:cs="Arial"/>
      <w:kern w:val="28"/>
      <w:sz w:val="24"/>
      <w:szCs w:val="24"/>
      <w:lang w:val="en-GB" w:eastAsia="en-US"/>
    </w:rPr>
  </w:style>
  <w:style w:type="paragraph" w:customStyle="1" w:styleId="IWAFirstparagraph">
    <w:name w:val="(IWA) First paragraph"/>
    <w:basedOn w:val="Normal"/>
    <w:next w:val="IWANormalParagraph"/>
    <w:pPr>
      <w:widowControl/>
      <w:suppressLineNumbers/>
      <w:overflowPunct w:val="0"/>
      <w:autoSpaceDE w:val="0"/>
      <w:autoSpaceDN w:val="0"/>
      <w:adjustRightInd w:val="0"/>
      <w:spacing w:after="120" w:line="240" w:lineRule="atLeast"/>
      <w:textAlignment w:val="baseline"/>
    </w:pPr>
    <w:rPr>
      <w:rFonts w:ascii="Arial" w:hAnsi="Arial" w:cs="Arial"/>
      <w:kern w:val="0"/>
      <w:sz w:val="22"/>
      <w:szCs w:val="22"/>
      <w:lang w:val="en-GB" w:eastAsia="en-US"/>
    </w:rPr>
  </w:style>
  <w:style w:type="paragraph" w:customStyle="1" w:styleId="IWANormalParagraph">
    <w:name w:val="(IWA) Normal Paragraph"/>
    <w:basedOn w:val="Normal"/>
    <w:pPr>
      <w:widowControl/>
      <w:spacing w:after="120"/>
      <w:ind w:firstLine="210"/>
    </w:pPr>
    <w:rPr>
      <w:rFonts w:ascii="Arial" w:hAnsi="Arial" w:cs="Arial"/>
      <w:kern w:val="0"/>
      <w:sz w:val="22"/>
      <w:szCs w:val="22"/>
      <w:lang w:val="en-GB" w:eastAsia="en-US"/>
    </w:rPr>
  </w:style>
  <w:style w:type="paragraph" w:customStyle="1" w:styleId="Authornames">
    <w:name w:val="Author name(s)"/>
    <w:basedOn w:val="Normal"/>
    <w:next w:val="Normal"/>
    <w:pPr>
      <w:widowControl/>
      <w:suppressLineNumbers/>
      <w:suppressAutoHyphens/>
      <w:overflowPunct w:val="0"/>
      <w:autoSpaceDE w:val="0"/>
      <w:autoSpaceDN w:val="0"/>
      <w:adjustRightInd w:val="0"/>
      <w:spacing w:before="240" w:after="120" w:line="240" w:lineRule="exact"/>
      <w:jc w:val="left"/>
      <w:textAlignment w:val="baseline"/>
    </w:pPr>
    <w:rPr>
      <w:rFonts w:ascii="Arial" w:hAnsi="Arial" w:cs="Arial"/>
      <w:b/>
      <w:bCs/>
      <w:kern w:val="0"/>
      <w:sz w:val="20"/>
      <w:szCs w:val="20"/>
      <w:lang w:val="en-GB" w:eastAsia="en-US"/>
    </w:rPr>
  </w:style>
  <w:style w:type="paragraph" w:customStyle="1" w:styleId="IWAKeyword">
    <w:name w:val="(IWA) Keyword"/>
    <w:basedOn w:val="Normal"/>
    <w:next w:val="Heading1"/>
    <w:pPr>
      <w:widowControl/>
      <w:suppressLineNumbers/>
      <w:suppressAutoHyphens/>
      <w:overflowPunct w:val="0"/>
      <w:autoSpaceDE w:val="0"/>
      <w:autoSpaceDN w:val="0"/>
      <w:adjustRightInd w:val="0"/>
      <w:spacing w:line="220" w:lineRule="atLeast"/>
      <w:jc w:val="center"/>
      <w:textAlignment w:val="baseline"/>
    </w:pPr>
    <w:rPr>
      <w:rFonts w:ascii="Arial" w:hAnsi="Arial" w:cs="Arial"/>
      <w:kern w:val="0"/>
      <w:sz w:val="18"/>
      <w:szCs w:val="18"/>
      <w:lang w:val="en-GB" w:eastAsia="en-US"/>
    </w:rPr>
  </w:style>
  <w:style w:type="paragraph" w:customStyle="1" w:styleId="Authoraddress">
    <w:name w:val="Author address"/>
    <w:basedOn w:val="Normal"/>
    <w:next w:val="Normal"/>
    <w:pPr>
      <w:widowControl/>
      <w:suppressLineNumbers/>
      <w:suppressAutoHyphens/>
      <w:overflowPunct w:val="0"/>
      <w:autoSpaceDE w:val="0"/>
      <w:autoSpaceDN w:val="0"/>
      <w:adjustRightInd w:val="0"/>
      <w:spacing w:line="220" w:lineRule="atLeast"/>
      <w:jc w:val="left"/>
      <w:textAlignment w:val="baseline"/>
    </w:pPr>
    <w:rPr>
      <w:rFonts w:ascii="Arial" w:hAnsi="Arial" w:cs="Arial"/>
      <w:kern w:val="0"/>
      <w:sz w:val="18"/>
      <w:szCs w:val="18"/>
      <w:lang w:val="en-GB" w:eastAsia="en-US"/>
    </w:rPr>
  </w:style>
  <w:style w:type="paragraph" w:customStyle="1" w:styleId="PlainText1">
    <w:name w:val="Plain Text1"/>
    <w:basedOn w:val="Normal"/>
    <w:rPr>
      <w:rFonts w:ascii="Calibri" w:hAnsi="Courier New" w:cs="Courier New"/>
      <w:sz w:val="24"/>
      <w:lang w:eastAsia="zh-TW"/>
    </w:rPr>
  </w:style>
  <w:style w:type="paragraph" w:customStyle="1" w:styleId="IWAPaperTitle">
    <w:name w:val="(IWA) Paper Title"/>
    <w:basedOn w:val="Normal"/>
    <w:pPr>
      <w:widowControl/>
      <w:jc w:val="center"/>
    </w:pPr>
    <w:rPr>
      <w:rFonts w:ascii="Arial" w:hAnsi="Arial" w:cs="Arial"/>
      <w:b/>
      <w:bCs/>
      <w:kern w:val="0"/>
      <w:sz w:val="28"/>
      <w:szCs w:val="28"/>
      <w:lang w:val="en-GB" w:eastAsia="en-US"/>
    </w:rPr>
  </w:style>
  <w:style w:type="table" w:styleId="TableGrid">
    <w:name w:val="Table Grid"/>
    <w:basedOn w:val="TableNormal"/>
    <w:uiPriority w:val="39"/>
    <w:rsid w:val="006A6B39"/>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F45D55"/>
    <w:rPr>
      <w:color w:val="467886"/>
      <w:u w:val="single"/>
    </w:rPr>
  </w:style>
  <w:style w:type="character" w:styleId="UnresolvedMention">
    <w:name w:val="Unresolved Mention"/>
    <w:uiPriority w:val="99"/>
    <w:semiHidden/>
    <w:unhideWhenUsed/>
    <w:rsid w:val="00F45D55"/>
    <w:rPr>
      <w:color w:val="605E5C"/>
      <w:shd w:val="clear" w:color="auto" w:fill="E1DFDD"/>
    </w:rPr>
  </w:style>
  <w:style w:type="paragraph" w:styleId="Revision">
    <w:name w:val="Revision"/>
    <w:hidden/>
    <w:uiPriority w:val="99"/>
    <w:unhideWhenUsed/>
    <w:rsid w:val="005B45BC"/>
    <w:rPr>
      <w:kern w:val="2"/>
      <w:sz w:val="21"/>
      <w:szCs w:val="24"/>
      <w:lang w:val="en-US" w:eastAsia="zh-CN"/>
    </w:rPr>
  </w:style>
  <w:style w:type="character" w:styleId="CommentReference">
    <w:name w:val="annotation reference"/>
    <w:basedOn w:val="DefaultParagraphFont"/>
    <w:rsid w:val="005B45BC"/>
    <w:rPr>
      <w:sz w:val="16"/>
      <w:szCs w:val="16"/>
    </w:rPr>
  </w:style>
  <w:style w:type="paragraph" w:styleId="CommentText">
    <w:name w:val="annotation text"/>
    <w:basedOn w:val="Normal"/>
    <w:link w:val="CommentTextChar"/>
    <w:rsid w:val="005B45BC"/>
    <w:rPr>
      <w:sz w:val="20"/>
      <w:szCs w:val="20"/>
    </w:rPr>
  </w:style>
  <w:style w:type="character" w:customStyle="1" w:styleId="CommentTextChar">
    <w:name w:val="Comment Text Char"/>
    <w:basedOn w:val="DefaultParagraphFont"/>
    <w:link w:val="CommentText"/>
    <w:rsid w:val="005B45BC"/>
    <w:rPr>
      <w:kern w:val="2"/>
      <w:lang w:val="en-US" w:eastAsia="zh-CN"/>
    </w:rPr>
  </w:style>
  <w:style w:type="paragraph" w:styleId="CommentSubject">
    <w:name w:val="annotation subject"/>
    <w:basedOn w:val="CommentText"/>
    <w:next w:val="CommentText"/>
    <w:link w:val="CommentSubjectChar"/>
    <w:rsid w:val="005B45BC"/>
    <w:rPr>
      <w:b/>
      <w:bCs/>
    </w:rPr>
  </w:style>
  <w:style w:type="character" w:customStyle="1" w:styleId="CommentSubjectChar">
    <w:name w:val="Comment Subject Char"/>
    <w:basedOn w:val="CommentTextChar"/>
    <w:link w:val="CommentSubject"/>
    <w:rsid w:val="005B45BC"/>
    <w:rPr>
      <w:b/>
      <w:bCs/>
      <w:kern w:val="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sciencedirect.com/science/article/pii/S09263373250004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713</Words>
  <Characters>3925</Characters>
  <Application>Microsoft Office Word</Application>
  <DocSecurity>0</DocSecurity>
  <PresentationFormat/>
  <Lines>32</Lines>
  <Paragraphs>9</Paragraphs>
  <Slides>0</Slides>
  <Notes>0</Notes>
  <HiddenSlides>0</HiddenSlides>
  <MMClips>0</MMClip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Title of Extended Abstract for the IWA-NRR 2012</vt:lpstr>
      <vt:lpstr>Title of Extended Abstract for the IWA-NRR 2012</vt:lpstr>
    </vt:vector>
  </TitlesOfParts>
  <Manager/>
  <Company>微软中国</Company>
  <LinksUpToDate>false</LinksUpToDate>
  <CharactersWithSpaces>4629</CharactersWithSpaces>
  <SharedDoc>false</SharedDoc>
  <HLinks>
    <vt:vector size="6" baseType="variant">
      <vt:variant>
        <vt:i4>5636126</vt:i4>
      </vt:variant>
      <vt:variant>
        <vt:i4>6</vt:i4>
      </vt:variant>
      <vt:variant>
        <vt:i4>0</vt:i4>
      </vt:variant>
      <vt:variant>
        <vt:i4>5</vt:i4>
      </vt:variant>
      <vt:variant>
        <vt:lpwstr>https://www.sciencedirect.com/science/article/pii/S0926337325000475</vt:lpwstr>
      </vt:variant>
      <vt:variant>
        <vt:lpwstr>spnsr4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of Extended Abstract for the IWA-NRR 2012</dc:title>
  <dc:subject/>
  <dc:creator>微软用户</dc:creator>
  <cp:keywords/>
  <dc:description/>
  <cp:lastModifiedBy>Paula Soriano Molina</cp:lastModifiedBy>
  <cp:revision>9</cp:revision>
  <dcterms:created xsi:type="dcterms:W3CDTF">2026-02-13T09:58:00Z</dcterms:created>
  <dcterms:modified xsi:type="dcterms:W3CDTF">2026-02-13T13:08:00Z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eyJoZGlkIjoiMzE1MTY4YzQ5NWFkMTYzNTg4MTg2NzdiNWQ5YzI3NmEiLCJ1c2VySWQiOiIzNzU0Njk5OTMifQ==</vt:lpwstr>
  </property>
  <property fmtid="{D5CDD505-2E9C-101B-9397-08002B2CF9AE}" pid="4" name="ICV">
    <vt:lpwstr>9F6B1C1C142F44238B93AD4D27136762_12</vt:lpwstr>
  </property>
</Properties>
</file>