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A1582" w14:textId="77777777" w:rsidR="00666823" w:rsidRDefault="00666823" w:rsidP="00BC4DCE">
      <w:pPr>
        <w:jc w:val="center"/>
        <w:rPr>
          <w:rFonts w:ascii="Times New Roman" w:hAnsi="Times New Roman" w:cs="Times New Roman"/>
          <w:b/>
          <w:sz w:val="32"/>
        </w:rPr>
      </w:pPr>
    </w:p>
    <w:p w14:paraId="1DEACB4F" w14:textId="3EB7EAFD" w:rsidR="003C5974" w:rsidRPr="003C5974" w:rsidRDefault="003C5974" w:rsidP="003C5974">
      <w:pPr>
        <w:jc w:val="center"/>
        <w:rPr>
          <w:rFonts w:ascii="Times New Roman" w:hAnsi="Times New Roman" w:cs="Times New Roman"/>
          <w:b/>
          <w:sz w:val="32"/>
        </w:rPr>
      </w:pPr>
      <w:r w:rsidRPr="003C5974">
        <w:rPr>
          <w:rFonts w:ascii="Times New Roman" w:hAnsi="Times New Roman" w:cs="Times New Roman"/>
          <w:b/>
          <w:sz w:val="32"/>
        </w:rPr>
        <w:t xml:space="preserve">Non-additive cytotoxicity </w:t>
      </w:r>
      <w:bookmarkStart w:id="0" w:name="_Hlk150532888"/>
      <w:r w:rsidRPr="003C5974">
        <w:rPr>
          <w:rFonts w:ascii="Times New Roman" w:hAnsi="Times New Roman" w:cs="Times New Roman"/>
          <w:b/>
          <w:sz w:val="32"/>
        </w:rPr>
        <w:t xml:space="preserve">in select disinfection byproducts and disinfected secondary effluent </w:t>
      </w:r>
      <w:bookmarkEnd w:id="0"/>
    </w:p>
    <w:p w14:paraId="2907E7FB" w14:textId="5386473A" w:rsidR="00D60CE3" w:rsidRPr="00642D0D" w:rsidRDefault="00D60CE3" w:rsidP="00BC4DCE">
      <w:pPr>
        <w:jc w:val="center"/>
        <w:rPr>
          <w:rFonts w:ascii="Times New Roman" w:hAnsi="Times New Roman" w:cs="Times New Roman"/>
          <w:b/>
          <w:sz w:val="32"/>
        </w:rPr>
      </w:pPr>
    </w:p>
    <w:p w14:paraId="2F5B542A" w14:textId="253E422B" w:rsidR="00BC4DCE" w:rsidRPr="00BC4DCE" w:rsidRDefault="003C5974" w:rsidP="00BC4DCE">
      <w:pPr>
        <w:jc w:val="center"/>
        <w:rPr>
          <w:rFonts w:ascii="Times New Roman" w:hAnsi="Times New Roman" w:cs="Times New Roman"/>
          <w:b/>
          <w:sz w:val="24"/>
        </w:rPr>
      </w:pPr>
      <w:proofErr w:type="spellStart"/>
      <w:r w:rsidRPr="003C5974">
        <w:rPr>
          <w:rFonts w:ascii="Times New Roman" w:hAnsi="Times New Roman" w:cs="Times New Roman"/>
          <w:b/>
          <w:sz w:val="24"/>
        </w:rPr>
        <w:t>Shengkun</w:t>
      </w:r>
      <w:proofErr w:type="spellEnd"/>
      <w:r w:rsidRPr="003C5974">
        <w:rPr>
          <w:rFonts w:ascii="Times New Roman" w:hAnsi="Times New Roman" w:cs="Times New Roman"/>
          <w:b/>
          <w:sz w:val="24"/>
        </w:rPr>
        <w:t xml:space="preserve"> Dong</w:t>
      </w:r>
      <w:r w:rsidR="00BC4DCE">
        <w:rPr>
          <w:rFonts w:ascii="Times New Roman" w:hAnsi="Times New Roman" w:cs="Times New Roman" w:hint="eastAsia"/>
          <w:b/>
          <w:sz w:val="24"/>
        </w:rPr>
        <w:t xml:space="preserve">, </w:t>
      </w:r>
      <w:proofErr w:type="spellStart"/>
      <w:r w:rsidR="007D0C82" w:rsidRPr="007D0C82">
        <w:rPr>
          <w:rFonts w:ascii="Times New Roman" w:hAnsi="Times New Roman" w:cs="Times New Roman"/>
          <w:b/>
          <w:sz w:val="24"/>
        </w:rPr>
        <w:t>Yuehao</w:t>
      </w:r>
      <w:proofErr w:type="spellEnd"/>
      <w:r w:rsidR="007D0C82" w:rsidRPr="007D0C82">
        <w:rPr>
          <w:rFonts w:ascii="Times New Roman" w:hAnsi="Times New Roman" w:cs="Times New Roman"/>
          <w:b/>
          <w:sz w:val="24"/>
        </w:rPr>
        <w:t xml:space="preserve"> Zhan</w:t>
      </w:r>
      <w:r w:rsidR="007D0C82">
        <w:rPr>
          <w:rFonts w:ascii="Times New Roman" w:hAnsi="Times New Roman" w:cs="Times New Roman"/>
          <w:b/>
          <w:sz w:val="24"/>
        </w:rPr>
        <w:t>,</w:t>
      </w:r>
      <w:r w:rsidR="00BC4DCE">
        <w:rPr>
          <w:rFonts w:ascii="Times New Roman" w:hAnsi="Times New Roman" w:cs="Times New Roman" w:hint="eastAsia"/>
          <w:b/>
          <w:sz w:val="24"/>
        </w:rPr>
        <w:t xml:space="preserve"> </w:t>
      </w:r>
      <w:proofErr w:type="spellStart"/>
      <w:r w:rsidR="007D0C82" w:rsidRPr="007D0C82">
        <w:rPr>
          <w:rFonts w:ascii="Times New Roman" w:hAnsi="Times New Roman" w:cs="Times New Roman"/>
          <w:b/>
          <w:sz w:val="24"/>
        </w:rPr>
        <w:t>Xuefeng</w:t>
      </w:r>
      <w:proofErr w:type="spellEnd"/>
      <w:r w:rsidR="007D0C82" w:rsidRPr="007D0C82">
        <w:rPr>
          <w:rFonts w:ascii="Times New Roman" w:hAnsi="Times New Roman" w:cs="Times New Roman"/>
          <w:b/>
          <w:sz w:val="24"/>
        </w:rPr>
        <w:t xml:space="preserve"> Zeng</w:t>
      </w:r>
      <w:r w:rsidR="007D0C82">
        <w:rPr>
          <w:rFonts w:ascii="Times New Roman" w:hAnsi="Times New Roman" w:cs="Times New Roman"/>
          <w:b/>
          <w:sz w:val="24"/>
        </w:rPr>
        <w:t xml:space="preserve">, </w:t>
      </w:r>
      <w:proofErr w:type="spellStart"/>
      <w:r w:rsidR="007D0C82" w:rsidRPr="007D0C82">
        <w:rPr>
          <w:rFonts w:ascii="Times New Roman" w:hAnsi="Times New Roman" w:cs="Times New Roman"/>
          <w:b/>
          <w:sz w:val="24"/>
        </w:rPr>
        <w:t>Xiaohong</w:t>
      </w:r>
      <w:proofErr w:type="spellEnd"/>
      <w:r w:rsidR="007D0C82" w:rsidRPr="007D0C82">
        <w:rPr>
          <w:rFonts w:ascii="Times New Roman" w:hAnsi="Times New Roman" w:cs="Times New Roman"/>
          <w:b/>
          <w:sz w:val="24"/>
        </w:rPr>
        <w:t xml:space="preserve"> Chen, </w:t>
      </w:r>
      <w:proofErr w:type="spellStart"/>
      <w:r w:rsidR="007D0C82" w:rsidRPr="007D0C82">
        <w:rPr>
          <w:rFonts w:ascii="Times New Roman" w:hAnsi="Times New Roman" w:cs="Times New Roman"/>
          <w:b/>
          <w:sz w:val="24"/>
        </w:rPr>
        <w:t>Bingjun</w:t>
      </w:r>
      <w:proofErr w:type="spellEnd"/>
      <w:r w:rsidR="007D0C82" w:rsidRPr="007D0C82">
        <w:rPr>
          <w:rFonts w:ascii="Times New Roman" w:hAnsi="Times New Roman" w:cs="Times New Roman"/>
          <w:b/>
          <w:sz w:val="24"/>
        </w:rPr>
        <w:t xml:space="preserve"> Liu</w:t>
      </w:r>
    </w:p>
    <w:p w14:paraId="5DB889C6" w14:textId="37A4ECC3" w:rsidR="00BC4DCE" w:rsidRPr="006E5210" w:rsidRDefault="006E5210" w:rsidP="006E5210">
      <w:pPr>
        <w:jc w:val="center"/>
        <w:rPr>
          <w:rFonts w:ascii="Times New Roman" w:hAnsi="Times New Roman" w:cs="Times New Roman"/>
          <w:iCs/>
          <w:sz w:val="22"/>
        </w:rPr>
      </w:pPr>
      <w:r w:rsidRPr="006E5210">
        <w:rPr>
          <w:rFonts w:ascii="Times New Roman" w:hAnsi="Times New Roman" w:cs="Times New Roman"/>
          <w:iCs/>
          <w:sz w:val="22"/>
        </w:rPr>
        <w:t xml:space="preserve">Guangdong Engineering Technology Research Center of Water Security Regulation and Control for Southern China, School of Civil Engineering, Sun </w:t>
      </w:r>
      <w:proofErr w:type="spellStart"/>
      <w:r w:rsidRPr="006E5210">
        <w:rPr>
          <w:rFonts w:ascii="Times New Roman" w:hAnsi="Times New Roman" w:cs="Times New Roman"/>
          <w:iCs/>
          <w:sz w:val="22"/>
        </w:rPr>
        <w:t>Yat-sen</w:t>
      </w:r>
      <w:proofErr w:type="spellEnd"/>
      <w:r w:rsidRPr="006E5210">
        <w:rPr>
          <w:rFonts w:ascii="Times New Roman" w:hAnsi="Times New Roman" w:cs="Times New Roman"/>
          <w:iCs/>
          <w:sz w:val="22"/>
        </w:rPr>
        <w:t xml:space="preserve"> University,</w:t>
      </w:r>
      <w:r>
        <w:rPr>
          <w:rFonts w:ascii="Times New Roman" w:hAnsi="Times New Roman" w:cs="Times New Roman"/>
          <w:iCs/>
          <w:sz w:val="22"/>
        </w:rPr>
        <w:t xml:space="preserve"> </w:t>
      </w:r>
      <w:r w:rsidRPr="006E5210">
        <w:rPr>
          <w:rFonts w:ascii="Times New Roman" w:hAnsi="Times New Roman" w:cs="Times New Roman"/>
          <w:iCs/>
          <w:sz w:val="22"/>
        </w:rPr>
        <w:t>China</w:t>
      </w:r>
    </w:p>
    <w:p w14:paraId="5856E034" w14:textId="22989BED" w:rsidR="00BC4DCE" w:rsidRDefault="00BC4DCE" w:rsidP="00BC4DCE">
      <w:pPr>
        <w:jc w:val="center"/>
        <w:rPr>
          <w:rFonts w:ascii="Times New Roman" w:hAnsi="Times New Roman" w:cs="Times New Roman"/>
          <w:sz w:val="22"/>
        </w:rPr>
      </w:pPr>
      <w:r w:rsidRPr="00BC4DCE">
        <w:rPr>
          <w:rFonts w:ascii="Times New Roman" w:hAnsi="Times New Roman" w:cs="Times New Roman"/>
          <w:sz w:val="22"/>
        </w:rPr>
        <w:t>Email:</w:t>
      </w:r>
      <w:r w:rsidR="00AB1F0A">
        <w:rPr>
          <w:rFonts w:ascii="Times New Roman" w:hAnsi="Times New Roman" w:cs="Times New Roman"/>
          <w:sz w:val="22"/>
        </w:rPr>
        <w:t xml:space="preserve"> </w:t>
      </w:r>
      <w:r w:rsidR="00AB1F0A" w:rsidRPr="00AB1F0A">
        <w:rPr>
          <w:rFonts w:ascii="Times New Roman" w:hAnsi="Times New Roman" w:cs="Times New Roman"/>
          <w:sz w:val="22"/>
        </w:rPr>
        <w:t>dongshk5@mail.sysu.edu.cn</w:t>
      </w:r>
    </w:p>
    <w:p w14:paraId="251FC2DF" w14:textId="77777777" w:rsidR="00666823" w:rsidRDefault="00666823" w:rsidP="00BC4DCE">
      <w:pPr>
        <w:jc w:val="center"/>
        <w:rPr>
          <w:rFonts w:ascii="Times New Roman" w:hAnsi="Times New Roman" w:cs="Times New Roman"/>
          <w:sz w:val="22"/>
        </w:rPr>
      </w:pPr>
    </w:p>
    <w:p w14:paraId="4E839E42" w14:textId="77777777" w:rsidR="00E541DF" w:rsidRDefault="00E541DF" w:rsidP="00E541DF">
      <w:pPr>
        <w:rPr>
          <w:rFonts w:ascii="Times New Roman" w:hAnsi="Times New Roman" w:cs="Times New Roman"/>
          <w:sz w:val="22"/>
        </w:rPr>
      </w:pPr>
    </w:p>
    <w:p w14:paraId="042C699A" w14:textId="77777777" w:rsidR="00BC4DCE" w:rsidRPr="00666823" w:rsidRDefault="00BC4DCE">
      <w:pPr>
        <w:rPr>
          <w:rFonts w:ascii="Times New Roman" w:hAnsi="Times New Roman" w:cs="Times New Roman"/>
          <w:sz w:val="22"/>
        </w:rPr>
      </w:pPr>
    </w:p>
    <w:p w14:paraId="36DBFDA8" w14:textId="52F451AF" w:rsidR="00EE1D9E" w:rsidRDefault="00EE1D9E">
      <w:pPr>
        <w:rPr>
          <w:rFonts w:ascii="Times New Roman" w:hAnsi="Times New Roman" w:cs="Times New Roman"/>
          <w:sz w:val="24"/>
          <w:szCs w:val="24"/>
        </w:rPr>
      </w:pPr>
      <w:r w:rsidRPr="00264C33">
        <w:rPr>
          <w:rFonts w:ascii="Times New Roman" w:hAnsi="Times New Roman" w:cs="Times New Roman"/>
          <w:b/>
          <w:bCs/>
          <w:sz w:val="24"/>
          <w:szCs w:val="24"/>
        </w:rPr>
        <w:t>Abstract.</w:t>
      </w:r>
      <w:r w:rsidR="00EE1AFE">
        <w:rPr>
          <w:rFonts w:ascii="Times New Roman" w:hAnsi="Times New Roman" w:cs="Times New Roman"/>
          <w:sz w:val="24"/>
          <w:szCs w:val="24"/>
        </w:rPr>
        <w:t xml:space="preserve"> Toxicity</w:t>
      </w:r>
      <w:r w:rsidR="00EE1AFE">
        <w:rPr>
          <w:rFonts w:ascii="Times New Roman" w:hAnsi="Times New Roman" w:cs="Times New Roman"/>
          <w:b/>
          <w:bCs/>
          <w:sz w:val="24"/>
          <w:szCs w:val="24"/>
        </w:rPr>
        <w:t xml:space="preserve"> </w:t>
      </w:r>
      <w:r w:rsidR="00EE1AFE">
        <w:rPr>
          <w:rFonts w:ascii="Times New Roman" w:hAnsi="Times New Roman" w:cs="Times New Roman"/>
          <w:sz w:val="24"/>
          <w:szCs w:val="24"/>
        </w:rPr>
        <w:t>studies of water disinfection byproducts (DBPs) typically assume additive interactions. Coupling results from both the bottom-up cytotoxicity interaction approach by selecting six common DBPs and the top-down cytotoxicity fractionating the disinfected secondary effluent containing a much broader DBP selection, we demonstrated a novel effect of clear, non-additive cytotoxicity at low chemical concentrations regardless of the number of DBP types involved. We revealed that the cytotoxicity interactions were influenced by the chemical’s type, concentration factor, and mixing ratio. For the bottom-up approach, the average combination indices (CI) were 1.61 (</w:t>
      </w:r>
      <w:proofErr w:type="spellStart"/>
      <w:r w:rsidR="00EE1AFE">
        <w:rPr>
          <w:rFonts w:ascii="Times New Roman" w:eastAsia="SimHei" w:hAnsi="Times New Roman" w:cs="Times New Roman" w:hint="eastAsia"/>
          <w:sz w:val="24"/>
          <w:szCs w:val="24"/>
        </w:rPr>
        <w:t>c</w:t>
      </w:r>
      <w:r w:rsidR="00EE1AFE">
        <w:rPr>
          <w:rFonts w:ascii="Times New Roman" w:eastAsia="SimSun" w:hAnsi="Times New Roman" w:cs="Times New Roman"/>
          <w:sz w:val="24"/>
          <w:szCs w:val="24"/>
        </w:rPr>
        <w:t>hlor</w:t>
      </w:r>
      <w:r w:rsidR="00EE1AFE">
        <w:rPr>
          <w:rFonts w:ascii="Times New Roman" w:eastAsia="SimSun" w:hAnsi="Times New Roman" w:cs="Times New Roman" w:hint="eastAsia"/>
          <w:sz w:val="24"/>
          <w:szCs w:val="24"/>
        </w:rPr>
        <w:t>acetamide</w:t>
      </w:r>
      <w:r w:rsidR="00EE1AFE">
        <w:rPr>
          <w:rFonts w:ascii="Times New Roman" w:hAnsi="Times New Roman" w:cs="Times New Roman"/>
          <w:sz w:val="24"/>
          <w:szCs w:val="24"/>
        </w:rPr>
        <w:t>+</w:t>
      </w:r>
      <w:r w:rsidR="00EE1AFE">
        <w:rPr>
          <w:rFonts w:ascii="Times New Roman" w:eastAsia="SimSun" w:hAnsi="Times New Roman" w:cs="Times New Roman"/>
          <w:sz w:val="24"/>
          <w:szCs w:val="24"/>
        </w:rPr>
        <w:t>chloroacetonitrile</w:t>
      </w:r>
      <w:proofErr w:type="spellEnd"/>
      <w:r w:rsidR="00EE1AFE">
        <w:rPr>
          <w:rFonts w:ascii="Times New Roman" w:hAnsi="Times New Roman" w:cs="Times New Roman"/>
          <w:sz w:val="24"/>
          <w:szCs w:val="24"/>
        </w:rPr>
        <w:t>, antagonism), 1.03 (</w:t>
      </w:r>
      <w:proofErr w:type="spellStart"/>
      <w:r w:rsidR="00EE1AFE">
        <w:rPr>
          <w:rFonts w:ascii="Times New Roman" w:eastAsia="SimSun" w:hAnsi="Times New Roman" w:cs="Times New Roman" w:hint="eastAsia"/>
          <w:sz w:val="24"/>
          <w:szCs w:val="24"/>
        </w:rPr>
        <w:t>b</w:t>
      </w:r>
      <w:r w:rsidR="00EE1AFE">
        <w:rPr>
          <w:rFonts w:ascii="Times New Roman" w:eastAsia="SimSun" w:hAnsi="Times New Roman" w:cs="Times New Roman"/>
          <w:sz w:val="24"/>
          <w:szCs w:val="24"/>
        </w:rPr>
        <w:t>romoacetamide</w:t>
      </w:r>
      <w:r w:rsidR="00EE1AFE">
        <w:rPr>
          <w:rFonts w:ascii="Times New Roman" w:hAnsi="Times New Roman" w:cs="Times New Roman"/>
          <w:sz w:val="24"/>
          <w:szCs w:val="24"/>
        </w:rPr>
        <w:t>+</w:t>
      </w:r>
      <w:r w:rsidR="00EE1AFE">
        <w:rPr>
          <w:rFonts w:ascii="Times New Roman" w:eastAsia="SimSun" w:hAnsi="Times New Roman" w:cs="Times New Roman"/>
          <w:sz w:val="24"/>
          <w:szCs w:val="24"/>
        </w:rPr>
        <w:t>bromoacetonitrile</w:t>
      </w:r>
      <w:proofErr w:type="spellEnd"/>
      <w:r w:rsidR="00EE1AFE">
        <w:rPr>
          <w:rFonts w:ascii="Times New Roman" w:hAnsi="Times New Roman" w:cs="Times New Roman"/>
          <w:sz w:val="24"/>
          <w:szCs w:val="24"/>
        </w:rPr>
        <w:t xml:space="preserve">, </w:t>
      </w:r>
      <w:r w:rsidR="00EE1AFE">
        <w:rPr>
          <w:rFonts w:ascii="Times New Roman" w:eastAsia="SimSun" w:hAnsi="Times New Roman" w:cs="Times New Roman"/>
          <w:kern w:val="0"/>
          <w:sz w:val="24"/>
          <w:szCs w:val="24"/>
        </w:rPr>
        <w:t>near additivity</w:t>
      </w:r>
      <w:r w:rsidR="00EE1AFE">
        <w:rPr>
          <w:rFonts w:ascii="Times New Roman" w:hAnsi="Times New Roman" w:cs="Times New Roman"/>
          <w:sz w:val="24"/>
          <w:szCs w:val="24"/>
        </w:rPr>
        <w:t>), and 0.69 (</w:t>
      </w:r>
      <w:r w:rsidR="00EE1AFE">
        <w:rPr>
          <w:rFonts w:ascii="Times New Roman" w:eastAsia="SimSun" w:hAnsi="Times New Roman" w:cs="Times New Roman" w:hint="eastAsia"/>
          <w:sz w:val="24"/>
          <w:szCs w:val="24"/>
        </w:rPr>
        <w:t>i</w:t>
      </w:r>
      <w:r w:rsidR="00EE1AFE">
        <w:rPr>
          <w:rFonts w:ascii="Times New Roman" w:eastAsia="SimSun" w:hAnsi="Times New Roman" w:cs="Times New Roman"/>
          <w:sz w:val="24"/>
          <w:szCs w:val="24"/>
        </w:rPr>
        <w:t xml:space="preserve">odoacetamide </w:t>
      </w:r>
      <w:r w:rsidR="00EE1AFE">
        <w:rPr>
          <w:rFonts w:ascii="Times New Roman" w:hAnsi="Times New Roman" w:cs="Times New Roman"/>
          <w:sz w:val="24"/>
          <w:szCs w:val="24"/>
        </w:rPr>
        <w:t>+</w:t>
      </w:r>
      <w:proofErr w:type="spellStart"/>
      <w:r w:rsidR="00EE1AFE">
        <w:rPr>
          <w:rFonts w:ascii="Times New Roman" w:eastAsia="SimSun" w:hAnsi="Times New Roman" w:cs="Times New Roman"/>
          <w:sz w:val="24"/>
          <w:szCs w:val="24"/>
        </w:rPr>
        <w:t>iodoacetonitrile</w:t>
      </w:r>
      <w:proofErr w:type="spellEnd"/>
      <w:r w:rsidR="00EE1AFE">
        <w:rPr>
          <w:rFonts w:ascii="Times New Roman" w:hAnsi="Times New Roman" w:cs="Times New Roman"/>
          <w:sz w:val="24"/>
          <w:szCs w:val="24"/>
        </w:rPr>
        <w:t xml:space="preserve">, </w:t>
      </w:r>
      <w:r w:rsidR="00EE1AFE">
        <w:rPr>
          <w:rFonts w:ascii="Times New Roman" w:eastAsia="SimSun" w:hAnsi="Times New Roman" w:cs="Times New Roman"/>
          <w:kern w:val="0"/>
          <w:sz w:val="24"/>
          <w:szCs w:val="24"/>
        </w:rPr>
        <w:t>synergism</w:t>
      </w:r>
      <w:r w:rsidR="00EE1AFE">
        <w:rPr>
          <w:rFonts w:ascii="Times New Roman" w:hAnsi="Times New Roman" w:cs="Times New Roman"/>
          <w:sz w:val="24"/>
          <w:szCs w:val="24"/>
        </w:rPr>
        <w:t>) across the DBPs’ concentration range of 10</w:t>
      </w:r>
      <w:r w:rsidR="00EE1AFE">
        <w:rPr>
          <w:rFonts w:ascii="Times New Roman" w:hAnsi="Times New Roman" w:cs="Times New Roman"/>
          <w:sz w:val="24"/>
          <w:szCs w:val="24"/>
          <w:vertAlign w:val="superscript"/>
        </w:rPr>
        <w:t>-4</w:t>
      </w:r>
      <w:r w:rsidR="00EE1AFE">
        <w:rPr>
          <w:rFonts w:ascii="Times New Roman" w:hAnsi="Times New Roman" w:cs="Times New Roman"/>
          <w:sz w:val="24"/>
          <w:szCs w:val="24"/>
        </w:rPr>
        <w:t>-10</w:t>
      </w:r>
      <w:r w:rsidR="00EE1AFE">
        <w:rPr>
          <w:rFonts w:ascii="Times New Roman" w:hAnsi="Times New Roman" w:cs="Times New Roman"/>
          <w:sz w:val="24"/>
          <w:szCs w:val="24"/>
          <w:vertAlign w:val="superscript"/>
        </w:rPr>
        <w:t>-7</w:t>
      </w:r>
      <w:r w:rsidR="00EE1AFE">
        <w:rPr>
          <w:rFonts w:ascii="Times New Roman" w:hAnsi="Times New Roman" w:cs="Times New Roman"/>
          <w:sz w:val="24"/>
          <w:szCs w:val="24"/>
        </w:rPr>
        <w:t xml:space="preserve"> M. These cytotoxicity interactions also varied with the components’ mixing ratios. For the top-down approach, we obtained two fractions of DBP mixtures from the disinfected secondary effluent using solvents of different polarities. The effect of concentration on CI values was significant, with a maximum 43.1% relative deviation in CI from LC</w:t>
      </w:r>
      <w:r w:rsidR="00EE1AFE">
        <w:rPr>
          <w:rFonts w:ascii="Times New Roman" w:hAnsi="Times New Roman" w:cs="Times New Roman"/>
          <w:sz w:val="24"/>
          <w:szCs w:val="24"/>
          <w:vertAlign w:val="subscript"/>
        </w:rPr>
        <w:t>5</w:t>
      </w:r>
      <w:r w:rsidR="00EE1AFE">
        <w:rPr>
          <w:rFonts w:ascii="Times New Roman" w:hAnsi="Times New Roman" w:cs="Times New Roman"/>
          <w:sz w:val="24"/>
          <w:szCs w:val="24"/>
        </w:rPr>
        <w:t>-LC</w:t>
      </w:r>
      <w:r w:rsidR="00EE1AFE">
        <w:rPr>
          <w:rFonts w:ascii="Times New Roman" w:hAnsi="Times New Roman" w:cs="Times New Roman"/>
          <w:sz w:val="24"/>
          <w:szCs w:val="24"/>
          <w:vertAlign w:val="subscript"/>
        </w:rPr>
        <w:t>95</w:t>
      </w:r>
      <w:r w:rsidR="00EE1AFE">
        <w:rPr>
          <w:rFonts w:ascii="Times New Roman" w:hAnsi="Times New Roman" w:cs="Times New Roman"/>
          <w:sz w:val="24"/>
          <w:szCs w:val="24"/>
        </w:rPr>
        <w:t>. The average CI values across the sample concentration range of 1-50 × (concentration factor) varied from 1.68 (antagonism) to 0.89 (slight synergism) as the ratio of mixture A increased. These results call for further research in prioritizing the forcing DBPs in mixtures.</w:t>
      </w:r>
    </w:p>
    <w:p w14:paraId="309EDF2A" w14:textId="77777777" w:rsidR="00151A38" w:rsidRPr="00EE1D9E" w:rsidRDefault="00151A38">
      <w:pPr>
        <w:rPr>
          <w:rFonts w:ascii="Times New Roman" w:hAnsi="Times New Roman" w:cs="Times New Roman"/>
          <w:sz w:val="24"/>
          <w:szCs w:val="24"/>
        </w:rPr>
      </w:pPr>
    </w:p>
    <w:p w14:paraId="48FE9AC1" w14:textId="77777777" w:rsidR="00F67CAB" w:rsidRDefault="00F67CAB">
      <w:pPr>
        <w:rPr>
          <w:rFonts w:ascii="Times New Roman" w:hAnsi="Times New Roman" w:cs="Times New Roman"/>
          <w:sz w:val="22"/>
        </w:rPr>
      </w:pPr>
    </w:p>
    <w:sectPr w:rsidR="00F67CAB" w:rsidSect="004A1068">
      <w:pgSz w:w="11906" w:h="16838"/>
      <w:pgMar w:top="1440" w:right="1800" w:bottom="1440" w:left="1800" w:header="624"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C157B" w14:textId="77777777" w:rsidR="00523976" w:rsidRDefault="00523976" w:rsidP="004A1068">
      <w:r>
        <w:separator/>
      </w:r>
    </w:p>
  </w:endnote>
  <w:endnote w:type="continuationSeparator" w:id="0">
    <w:p w14:paraId="2BCF131D" w14:textId="77777777" w:rsidR="00523976" w:rsidRDefault="00523976" w:rsidP="004A10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921F2" w14:textId="77777777" w:rsidR="00523976" w:rsidRDefault="00523976" w:rsidP="004A1068">
      <w:r>
        <w:separator/>
      </w:r>
    </w:p>
  </w:footnote>
  <w:footnote w:type="continuationSeparator" w:id="0">
    <w:p w14:paraId="28CA66AD" w14:textId="77777777" w:rsidR="00523976" w:rsidRDefault="00523976" w:rsidP="004A10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51887"/>
    <w:rsid w:val="000B438B"/>
    <w:rsid w:val="00101AF8"/>
    <w:rsid w:val="00151A38"/>
    <w:rsid w:val="001B363B"/>
    <w:rsid w:val="00264C33"/>
    <w:rsid w:val="00361CD2"/>
    <w:rsid w:val="003A0A81"/>
    <w:rsid w:val="003C5974"/>
    <w:rsid w:val="003E72F0"/>
    <w:rsid w:val="004A1068"/>
    <w:rsid w:val="004E5342"/>
    <w:rsid w:val="00517C7D"/>
    <w:rsid w:val="00523976"/>
    <w:rsid w:val="00547DF5"/>
    <w:rsid w:val="00582D59"/>
    <w:rsid w:val="005A49C2"/>
    <w:rsid w:val="00642D0D"/>
    <w:rsid w:val="00666823"/>
    <w:rsid w:val="006C425F"/>
    <w:rsid w:val="006E5210"/>
    <w:rsid w:val="0074178C"/>
    <w:rsid w:val="007D0C82"/>
    <w:rsid w:val="00941F8B"/>
    <w:rsid w:val="00973413"/>
    <w:rsid w:val="00AB1F0A"/>
    <w:rsid w:val="00AF157F"/>
    <w:rsid w:val="00BC4DCE"/>
    <w:rsid w:val="00D51887"/>
    <w:rsid w:val="00D60CE3"/>
    <w:rsid w:val="00E541DF"/>
    <w:rsid w:val="00EE1AFE"/>
    <w:rsid w:val="00EE1D9E"/>
    <w:rsid w:val="00F22A06"/>
    <w:rsid w:val="00F35B46"/>
    <w:rsid w:val="00F67C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0B16E0"/>
  <w15:docId w15:val="{0772E536-2E71-4686-AFC1-F92BE2B04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ography">
    <w:name w:val="Biography"/>
    <w:basedOn w:val="BodyText"/>
    <w:rsid w:val="00151A38"/>
    <w:pPr>
      <w:widowControl/>
      <w:spacing w:after="0"/>
      <w:ind w:firstLine="210"/>
    </w:pPr>
    <w:rPr>
      <w:rFonts w:ascii="Times New Roman" w:eastAsia="SimSun" w:hAnsi="Times New Roman" w:cs="Times New Roman"/>
      <w:bCs/>
      <w:kern w:val="0"/>
      <w:sz w:val="18"/>
      <w:szCs w:val="18"/>
      <w:lang w:eastAsia="en-US"/>
    </w:rPr>
  </w:style>
  <w:style w:type="paragraph" w:styleId="BodyText">
    <w:name w:val="Body Text"/>
    <w:basedOn w:val="Normal"/>
    <w:link w:val="BodyTextChar"/>
    <w:uiPriority w:val="99"/>
    <w:semiHidden/>
    <w:unhideWhenUsed/>
    <w:rsid w:val="00151A38"/>
    <w:pPr>
      <w:spacing w:after="120"/>
    </w:pPr>
  </w:style>
  <w:style w:type="character" w:customStyle="1" w:styleId="BodyTextChar">
    <w:name w:val="Body Text Char"/>
    <w:basedOn w:val="DefaultParagraphFont"/>
    <w:link w:val="BodyText"/>
    <w:uiPriority w:val="99"/>
    <w:semiHidden/>
    <w:rsid w:val="00151A38"/>
  </w:style>
  <w:style w:type="paragraph" w:styleId="Header">
    <w:name w:val="header"/>
    <w:basedOn w:val="Normal"/>
    <w:link w:val="HeaderChar"/>
    <w:uiPriority w:val="99"/>
    <w:unhideWhenUsed/>
    <w:rsid w:val="004A106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4A1068"/>
    <w:rPr>
      <w:sz w:val="18"/>
      <w:szCs w:val="18"/>
    </w:rPr>
  </w:style>
  <w:style w:type="paragraph" w:styleId="Footer">
    <w:name w:val="footer"/>
    <w:basedOn w:val="Normal"/>
    <w:link w:val="FooterChar"/>
    <w:uiPriority w:val="99"/>
    <w:unhideWhenUsed/>
    <w:rsid w:val="004A106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4A10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SK Dong</cp:lastModifiedBy>
  <cp:revision>15</cp:revision>
  <dcterms:created xsi:type="dcterms:W3CDTF">2018-04-04T08:05:00Z</dcterms:created>
  <dcterms:modified xsi:type="dcterms:W3CDTF">2026-02-09T03:02:00Z</dcterms:modified>
</cp:coreProperties>
</file>