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D41C2E">
      <w:pPr>
        <w:jc w:val="center"/>
        <w:rPr>
          <w:rFonts w:hint="eastAsia" w:ascii="宋体" w:hAnsi="宋体" w:eastAsia="宋体" w:cs="宋体"/>
          <w:b/>
          <w:bCs/>
          <w:sz w:val="28"/>
          <w:szCs w:val="36"/>
          <w:lang w:eastAsia="zh-CN"/>
        </w:rPr>
      </w:pPr>
      <w:r>
        <w:rPr>
          <w:rFonts w:hint="eastAsia" w:ascii="宋体" w:hAnsi="宋体" w:eastAsia="宋体" w:cs="宋体"/>
          <w:b/>
          <w:bCs/>
          <w:sz w:val="28"/>
          <w:szCs w:val="36"/>
          <w:lang w:eastAsia="zh-CN"/>
        </w:rPr>
        <w:t>上海供水系统病原微生物风险特征研究</w:t>
      </w:r>
    </w:p>
    <w:p w14:paraId="383B5927">
      <w:pPr>
        <w:jc w:val="center"/>
        <w:rPr>
          <w:rFonts w:hint="eastAsia"/>
          <w:lang w:eastAsia="zh-CN"/>
        </w:rPr>
      </w:pPr>
    </w:p>
    <w:p w14:paraId="293E12A5">
      <w:pPr>
        <w:jc w:val="center"/>
        <w:rPr>
          <w:rFonts w:hint="eastAsia"/>
          <w:lang w:eastAsia="zh-CN"/>
        </w:rPr>
      </w:pPr>
      <w:r>
        <w:rPr>
          <w:rFonts w:hint="eastAsia"/>
          <w:lang w:eastAsia="zh-CN"/>
        </w:rPr>
        <w:t>陈蕾</w:t>
      </w:r>
    </w:p>
    <w:p w14:paraId="02D8F294">
      <w:pPr>
        <w:jc w:val="center"/>
        <w:rPr>
          <w:rFonts w:hint="eastAsia"/>
          <w:lang w:eastAsia="zh-CN"/>
        </w:rPr>
      </w:pPr>
    </w:p>
    <w:p w14:paraId="27CE8BCF">
      <w:pPr>
        <w:jc w:val="center"/>
        <w:rPr>
          <w:rFonts w:hint="eastAsia"/>
          <w:lang w:eastAsia="zh-CN"/>
        </w:rPr>
      </w:pPr>
      <w:r>
        <w:rPr>
          <w:rFonts w:hint="eastAsia"/>
          <w:lang w:eastAsia="zh-CN"/>
        </w:rPr>
        <w:t>上海城市水资源开发利用国家工程中心有限公司</w:t>
      </w:r>
    </w:p>
    <w:p w14:paraId="258AA8C5">
      <w:pPr>
        <w:rPr>
          <w:rFonts w:hint="eastAsia"/>
          <w:lang w:eastAsia="zh-CN"/>
        </w:rPr>
      </w:pPr>
    </w:p>
    <w:p w14:paraId="506CA3C0">
      <w:pPr>
        <w:spacing w:line="360" w:lineRule="auto"/>
        <w:ind w:firstLine="480" w:firstLineChars="200"/>
        <w:rPr>
          <w:rFonts w:hint="default" w:ascii="Times New Roman" w:hAnsi="Times New Roman" w:eastAsia="宋体" w:cs="Times New Roman"/>
          <w:sz w:val="24"/>
          <w:szCs w:val="32"/>
          <w:lang w:bidi="ar"/>
        </w:rPr>
      </w:pPr>
    </w:p>
    <w:p w14:paraId="0969868D">
      <w:pPr>
        <w:spacing w:line="360" w:lineRule="auto"/>
        <w:ind w:firstLine="480" w:firstLineChars="200"/>
        <w:rPr>
          <w:rFonts w:hint="eastAsia" w:ascii="Times New Roman" w:hAnsi="Times New Roman" w:eastAsia="宋体" w:cs="Times New Roman"/>
          <w:sz w:val="24"/>
          <w:szCs w:val="32"/>
          <w:lang w:eastAsia="zh-CN"/>
        </w:rPr>
      </w:pPr>
      <w:r>
        <w:rPr>
          <w:rFonts w:hint="default" w:ascii="Times New Roman" w:hAnsi="Times New Roman" w:eastAsia="宋体" w:cs="Times New Roman"/>
          <w:sz w:val="24"/>
          <w:szCs w:val="32"/>
          <w:lang w:eastAsia="zh-CN"/>
        </w:rPr>
        <w:t>研究针对上海供水病原微生物风险控制重大需求和高品质饮用水建设目标，开展上海供水系统病原微生物检测能力建设</w:t>
      </w:r>
      <w:r>
        <w:rPr>
          <w:rFonts w:hint="eastAsia" w:ascii="Times New Roman" w:hAnsi="Times New Roman" w:eastAsia="宋体" w:cs="Times New Roman"/>
          <w:sz w:val="24"/>
          <w:szCs w:val="32"/>
          <w:lang w:eastAsia="zh-CN"/>
        </w:rPr>
        <w:t>，</w:t>
      </w:r>
      <w:r>
        <w:rPr>
          <w:rFonts w:hint="default" w:ascii="Times New Roman" w:hAnsi="Times New Roman" w:eastAsia="宋体" w:cs="Times New Roman"/>
          <w:sz w:val="24"/>
          <w:szCs w:val="32"/>
          <w:lang w:eastAsia="zh-CN"/>
        </w:rPr>
        <w:t>建成上海供排水行业第一个具备病毒、细菌、藻类、两虫等全套微生物检测功能的实验室</w:t>
      </w:r>
      <w:r>
        <w:rPr>
          <w:rFonts w:hint="eastAsia" w:ascii="Times New Roman" w:hAnsi="Times New Roman" w:eastAsia="宋体" w:cs="Times New Roman"/>
          <w:sz w:val="24"/>
          <w:szCs w:val="32"/>
          <w:lang w:eastAsia="zh-CN"/>
        </w:rPr>
        <w:t>。解析了上海城市供水系统病原微生物的特征与重点关注微生物清单，重点关注大肠菌群、肠球菌、铜绿假单胞菌、军团菌、异养菌、腺病毒等18种微生物。摸清水厂不同处理工艺对病原微生物的去除作用，混凝沉淀、活性炭和氯消毒工艺单元是去除病原微生物的主要环节，砂滤池、活性炭滤池和膜工艺可能有病原微生物泄露风险。水厂处理过程可有效去除微生物，净水厂处理后居民龙头水不存在风险。出厂水至管网和二次供水，微生物有一定程度增加，应加强对供水输配过程微生物安全风险的防控。</w:t>
      </w:r>
    </w:p>
    <w:p w14:paraId="795E0997">
      <w:pPr>
        <w:spacing w:line="360" w:lineRule="auto"/>
        <w:ind w:firstLine="480" w:firstLineChars="200"/>
        <w:rPr>
          <w:rFonts w:hint="eastAsia" w:ascii="Times New Roman" w:hAnsi="Times New Roman" w:eastAsia="宋体" w:cs="Times New Roman"/>
          <w:sz w:val="24"/>
          <w:szCs w:val="32"/>
          <w:lang w:eastAsia="zh-CN"/>
        </w:rPr>
      </w:pPr>
    </w:p>
    <w:p w14:paraId="504545A9">
      <w:pPr>
        <w:spacing w:line="360" w:lineRule="auto"/>
        <w:rPr>
          <w:rFonts w:hint="eastAsia" w:ascii="Times New Roman" w:hAnsi="Times New Roman" w:eastAsia="宋体" w:cs="Times New Roman"/>
          <w:b/>
          <w:bCs/>
          <w:sz w:val="24"/>
          <w:szCs w:val="32"/>
          <w:lang w:eastAsia="zh-CN"/>
        </w:rPr>
      </w:pPr>
      <w:bookmarkStart w:id="0" w:name="_GoBack"/>
      <w:r>
        <w:rPr>
          <w:rFonts w:hint="eastAsia" w:ascii="Times New Roman" w:hAnsi="Times New Roman" w:eastAsia="宋体" w:cs="Times New Roman"/>
          <w:b/>
          <w:bCs/>
          <w:sz w:val="24"/>
          <w:szCs w:val="32"/>
          <w:lang w:eastAsia="zh-CN"/>
        </w:rPr>
        <w:t>参考文献：</w:t>
      </w:r>
    </w:p>
    <w:bookmarkEnd w:id="0"/>
    <w:p w14:paraId="65F6143E">
      <w:pPr>
        <w:pStyle w:val="5"/>
        <w:numPr>
          <w:ilvl w:val="0"/>
          <w:numId w:val="1"/>
        </w:numPr>
        <w:spacing w:line="360" w:lineRule="auto"/>
        <w:ind w:left="0" w:firstLine="0" w:firstLineChars="0"/>
        <w:rPr>
          <w:rFonts w:ascii="Times New Roman" w:hAnsi="Times New Roman" w:eastAsia="宋体" w:cs="Times New Roman"/>
          <w:szCs w:val="21"/>
        </w:rPr>
      </w:pPr>
      <w:r>
        <w:rPr>
          <w:rFonts w:ascii="Times New Roman" w:hAnsi="Times New Roman" w:eastAsia="宋体" w:cs="Times New Roman"/>
          <w:szCs w:val="21"/>
        </w:rPr>
        <w:t>Ma L, Li B, Zhang T. New insights into antibiotic resistome in drinking water and management perspectives: A metagenomic based study of small-sized microbes[J]. Water Research, 2019, 152: 191-201.</w:t>
      </w:r>
    </w:p>
    <w:p w14:paraId="30D98B0D">
      <w:pPr>
        <w:pStyle w:val="5"/>
        <w:numPr>
          <w:ilvl w:val="0"/>
          <w:numId w:val="1"/>
        </w:numPr>
        <w:spacing w:line="360" w:lineRule="auto"/>
        <w:ind w:left="0" w:firstLine="0" w:firstLineChars="0"/>
        <w:rPr>
          <w:rFonts w:ascii="Times New Roman" w:hAnsi="Times New Roman" w:eastAsia="宋体" w:cs="Times New Roman"/>
          <w:szCs w:val="21"/>
        </w:rPr>
      </w:pPr>
      <w:r>
        <w:rPr>
          <w:rFonts w:ascii="Times New Roman" w:hAnsi="Times New Roman" w:eastAsia="宋体" w:cs="Times New Roman"/>
          <w:szCs w:val="21"/>
        </w:rPr>
        <w:t>HSIAO T-C, LIN A Y-C, LIEN W-C, et al. Size distribution, biological characteristics and emerging contaminants of aerosols emitted from an urban wastewater treatment plant [J]. Journal of Hazardous Materials, 2020, 388: 121809.</w:t>
      </w:r>
    </w:p>
    <w:p w14:paraId="328C6EB7">
      <w:pPr>
        <w:pStyle w:val="5"/>
        <w:numPr>
          <w:ilvl w:val="0"/>
          <w:numId w:val="1"/>
        </w:numPr>
        <w:spacing w:line="360" w:lineRule="auto"/>
        <w:ind w:left="0" w:firstLine="0" w:firstLineChars="0"/>
        <w:rPr>
          <w:rFonts w:ascii="Times New Roman" w:hAnsi="Times New Roman" w:eastAsia="宋体" w:cs="Times New Roman"/>
          <w:szCs w:val="21"/>
        </w:rPr>
      </w:pPr>
      <w:r>
        <w:rPr>
          <w:rFonts w:hint="eastAsia" w:ascii="Times New Roman" w:hAnsi="Times New Roman" w:eastAsia="宋体" w:cs="Times New Roman"/>
          <w:szCs w:val="21"/>
        </w:rPr>
        <w:t>黄江平, 钟格梅. 两起诺如病毒污染饮用水致感染性腹泻疫情暴发案例分析[J]. 环境卫生学杂志, 2021, 11(4): 385-389.</w:t>
      </w:r>
    </w:p>
    <w:p w14:paraId="0391FBA5">
      <w:pPr>
        <w:pStyle w:val="5"/>
        <w:numPr>
          <w:ilvl w:val="0"/>
          <w:numId w:val="1"/>
        </w:numPr>
        <w:spacing w:line="360" w:lineRule="auto"/>
        <w:ind w:left="0" w:firstLine="0" w:firstLineChars="0"/>
        <w:rPr>
          <w:rFonts w:ascii="Times New Roman" w:hAnsi="Times New Roman" w:eastAsia="宋体" w:cs="Times New Roman"/>
          <w:szCs w:val="21"/>
        </w:rPr>
      </w:pPr>
      <w:r>
        <w:rPr>
          <w:rFonts w:hint="eastAsia" w:ascii="Times New Roman" w:hAnsi="Times New Roman" w:eastAsia="宋体" w:cs="Times New Roman"/>
          <w:szCs w:val="21"/>
        </w:rPr>
        <w:t>Jie L, Renxin Z, Jie</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F</w:t>
      </w:r>
      <w:r>
        <w:rPr>
          <w:rFonts w:hint="eastAsia" w:ascii="Times New Roman" w:hAnsi="Times New Roman" w:eastAsia="宋体" w:cs="Times New Roman"/>
          <w:szCs w:val="21"/>
          <w:lang w:val="en-US" w:eastAsia="zh-CN"/>
        </w:rPr>
        <w:t xml:space="preserve">, et al. </w:t>
      </w:r>
      <w:r>
        <w:rPr>
          <w:rFonts w:hint="eastAsia" w:ascii="Times New Roman" w:hAnsi="Times New Roman" w:eastAsia="宋体" w:cs="Times New Roman"/>
          <w:szCs w:val="21"/>
        </w:rPr>
        <w:t>Bacterial assembly and succession patterns in conventional and advanceddrinking water systems: From source to tap</w:t>
      </w:r>
      <w:r>
        <w:rPr>
          <w:rFonts w:ascii="Times New Roman" w:hAnsi="Times New Roman" w:eastAsia="宋体" w:cs="Times New Roman"/>
          <w:szCs w:val="21"/>
        </w:rPr>
        <w:t>[J].</w:t>
      </w:r>
      <w:r>
        <w:rPr>
          <w:rFonts w:hint="eastAsia" w:ascii="Times New Roman" w:hAnsi="Times New Roman" w:eastAsia="宋体" w:cs="Times New Roman"/>
          <w:szCs w:val="21"/>
          <w:lang w:val="en-US" w:eastAsia="zh-CN"/>
        </w:rPr>
        <w:t xml:space="preserve"> Water Research, 2024, 473: 134613</w:t>
      </w:r>
    </w:p>
    <w:p w14:paraId="754B8E40">
      <w:pPr>
        <w:pStyle w:val="5"/>
        <w:numPr>
          <w:ilvl w:val="0"/>
          <w:numId w:val="1"/>
        </w:numPr>
        <w:spacing w:line="360" w:lineRule="auto"/>
        <w:ind w:left="0" w:firstLine="0" w:firstLineChars="0"/>
        <w:rPr>
          <w:rFonts w:ascii="Times New Roman" w:hAnsi="Times New Roman" w:eastAsia="宋体" w:cs="Times New Roman"/>
          <w:szCs w:val="21"/>
        </w:rPr>
      </w:pPr>
      <w:r>
        <w:rPr>
          <w:rFonts w:ascii="Times New Roman" w:hAnsi="Times New Roman" w:eastAsia="宋体" w:cs="Times New Roman"/>
          <w:szCs w:val="21"/>
        </w:rPr>
        <w:t>Shi D, Ma H, Miao J, et al. Levels of human rotaviruses and noroviruses GII in urban rivers running through the city mirror their infection prevalence in populations[J]. Science of the Total Environent, 2021, 754: 142203.</w:t>
      </w:r>
    </w:p>
    <w:p w14:paraId="6B0D3E0B">
      <w:pPr>
        <w:pStyle w:val="5"/>
        <w:numPr>
          <w:ilvl w:val="0"/>
          <w:numId w:val="1"/>
        </w:numPr>
        <w:spacing w:line="360" w:lineRule="auto"/>
        <w:ind w:left="0" w:firstLine="0" w:firstLineChars="0"/>
        <w:rPr>
          <w:rFonts w:ascii="Times New Roman" w:hAnsi="Times New Roman" w:eastAsia="宋体" w:cs="Times New Roman"/>
          <w:szCs w:val="21"/>
        </w:rPr>
      </w:pPr>
      <w:r>
        <w:rPr>
          <w:rFonts w:ascii="Times New Roman" w:hAnsi="Times New Roman" w:eastAsia="宋体" w:cs="Times New Roman"/>
          <w:szCs w:val="21"/>
        </w:rPr>
        <w:t>Fores E, Rusinol M, Itarte M, et al. Evaluation of a virus concentration method based on ultrafiltration and wet foam elution for studying viruses from large-volume water samples[J]. Science of the Total Environment, 2022, 829: 154431.</w:t>
      </w:r>
    </w:p>
    <w:p w14:paraId="72560EC5">
      <w:pPr>
        <w:pStyle w:val="5"/>
        <w:numPr>
          <w:ilvl w:val="0"/>
          <w:numId w:val="1"/>
        </w:numPr>
        <w:spacing w:line="360" w:lineRule="auto"/>
        <w:ind w:left="0" w:firstLine="0" w:firstLineChars="0"/>
        <w:rPr>
          <w:rFonts w:ascii="Times New Roman" w:hAnsi="Times New Roman" w:eastAsia="宋体" w:cs="Times New Roman"/>
          <w:szCs w:val="21"/>
        </w:rPr>
      </w:pPr>
      <w:r>
        <w:rPr>
          <w:rFonts w:ascii="Times New Roman" w:hAnsi="Times New Roman" w:eastAsia="宋体" w:cs="Times New Roman"/>
          <w:szCs w:val="21"/>
        </w:rPr>
        <w:t>Xiang X, Shang Y, Zhang J, et al. Advances in improvement strategies of digital nucleic acid amplification for pathogen detection[J]. Trends in Analytical Chemistry, 2022, 149: 116568.</w:t>
      </w:r>
    </w:p>
    <w:p w14:paraId="01C2872B">
      <w:pPr>
        <w:spacing w:line="360" w:lineRule="auto"/>
        <w:rPr>
          <w:rFonts w:hint="eastAsia" w:ascii="Times New Roman" w:hAnsi="Times New Roman" w:eastAsia="宋体" w:cs="Times New Roman"/>
          <w:sz w:val="24"/>
          <w:szCs w:val="32"/>
          <w:lang w:eastAsia="zh-CN"/>
        </w:rPr>
      </w:pPr>
    </w:p>
    <w:p w14:paraId="4F3F984D">
      <w:pPr>
        <w:spacing w:line="360" w:lineRule="auto"/>
        <w:rPr>
          <w:rFonts w:hint="eastAsia" w:ascii="Times New Roman" w:hAnsi="Times New Roman" w:eastAsia="宋体" w:cs="Times New Roman"/>
          <w:sz w:val="24"/>
          <w:szCs w:val="32"/>
          <w:lang w:eastAsia="zh-CN"/>
        </w:rPr>
      </w:pPr>
    </w:p>
    <w:p w14:paraId="7F079A30">
      <w:pPr>
        <w:spacing w:line="360" w:lineRule="auto"/>
        <w:rPr>
          <w:rFonts w:hint="eastAsia" w:ascii="Times New Roman" w:hAnsi="Times New Roman" w:eastAsia="宋体" w:cs="Times New Roman"/>
          <w:sz w:val="24"/>
          <w:szCs w:val="32"/>
          <w:lang w:eastAsia="zh-CN"/>
        </w:rPr>
      </w:pPr>
    </w:p>
    <w:p w14:paraId="664C745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32"/>
          <w:lang w:eastAsia="zh-CN"/>
        </w:rPr>
      </w:pPr>
    </w:p>
    <w:p w14:paraId="62682FA5">
      <w:pPr>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49D0634"/>
    <w:multiLevelType w:val="multilevel"/>
    <w:tmpl w:val="749D0634"/>
    <w:lvl w:ilvl="0" w:tentative="0">
      <w:start w:val="1"/>
      <w:numFmt w:val="decimal"/>
      <w:lvlText w:val="[%1]"/>
      <w:lvlJc w:val="left"/>
      <w:pPr>
        <w:ind w:left="420" w:hanging="420"/>
      </w:pPr>
      <w:rPr>
        <w:rFonts w:hint="eastAsia"/>
        <w:snapToGrid/>
        <w:spacing w:val="-6"/>
        <w:w w:val="100"/>
        <w:kern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hhZTAwMWJjMzUwZDRlZTJlNTYxZTlhNTM3ZjNjYTYifQ=="/>
  </w:docVars>
  <w:rsids>
    <w:rsidRoot w:val="6A061B4C"/>
    <w:rsid w:val="3BC4395E"/>
    <w:rsid w:val="48536C35"/>
    <w:rsid w:val="54770CE1"/>
    <w:rsid w:val="610321DE"/>
    <w:rsid w:val="68814FD3"/>
    <w:rsid w:val="6A061B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594</Words>
  <Characters>1487</Characters>
  <Lines>0</Lines>
  <Paragraphs>0</Paragraphs>
  <TotalTime>26</TotalTime>
  <ScaleCrop>false</ScaleCrop>
  <LinksUpToDate>false</LinksUpToDate>
  <CharactersWithSpaces>1676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2023-08-25T07:48:00Z</dcterms:created>
  <dc:creator>WPS_1668392351</dc:creator>
  <cp:lastModifiedBy>WPS_1668392351</cp:lastModifiedBy>
  <dcterms:modified xsi:type="dcterms:W3CDTF">2026-02-06T02:39:26Z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E76090865FD34A6B96B88F8086AFBDE0_13</vt:lpwstr>
  </property>
  <property fmtid="{D5CDD505-2E9C-101B-9397-08002B2CF9AE}" pid="4" name="KSOTemplateDocerSaveRecord">
    <vt:lpwstr>eyJoZGlkIjoiZThhZTAwMWJjMzUwZDRlZTJlNTYxZTlhNTM3ZjNjYTYiLCJ1c2VySWQiOiIxNDQxNjg5MzMxIn0=</vt:lpwstr>
  </property>
</Properties>
</file>