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715B6" w14:textId="77777777" w:rsidR="009832E1" w:rsidRDefault="00000000">
      <w:pPr>
        <w:spacing w:line="240" w:lineRule="auto"/>
        <w:rPr>
          <w:rFonts w:cstheme="minorHAnsi"/>
          <w:b/>
          <w:bCs/>
        </w:rPr>
      </w:pPr>
      <w:r>
        <w:rPr>
          <w:rFonts w:cstheme="minorHAnsi"/>
          <w:b/>
          <w:bCs/>
        </w:rPr>
        <w:t>Disinfection By-Product Formation Potential and DOM Characteristics</w:t>
      </w:r>
      <w:r>
        <w:rPr>
          <w:rFonts w:cstheme="minorHAnsi" w:hint="eastAsia"/>
          <w:b/>
          <w:bCs/>
        </w:rPr>
        <w:t xml:space="preserve"> of </w:t>
      </w:r>
      <w:proofErr w:type="spellStart"/>
      <w:r>
        <w:rPr>
          <w:rFonts w:cstheme="minorHAnsi"/>
          <w:b/>
          <w:bCs/>
        </w:rPr>
        <w:t>Kelani</w:t>
      </w:r>
      <w:proofErr w:type="spellEnd"/>
      <w:r>
        <w:rPr>
          <w:rFonts w:cstheme="minorHAnsi"/>
          <w:b/>
          <w:bCs/>
        </w:rPr>
        <w:t xml:space="preserve"> River in the Wet-Season.</w:t>
      </w:r>
    </w:p>
    <w:p w14:paraId="0768E227" w14:textId="77777777" w:rsidR="009832E1" w:rsidRDefault="00000000">
      <w:pPr>
        <w:spacing w:after="0" w:line="240" w:lineRule="auto"/>
        <w:rPr>
          <w:rFonts w:cstheme="minorHAnsi"/>
          <w:b/>
          <w:bCs/>
        </w:rPr>
      </w:pPr>
      <w:r>
        <w:rPr>
          <w:rFonts w:cstheme="minorHAnsi"/>
          <w:b/>
          <w:bCs/>
        </w:rPr>
        <w:t>Authors</w:t>
      </w:r>
    </w:p>
    <w:p w14:paraId="5DB8AF62" w14:textId="77777777" w:rsidR="009832E1" w:rsidRDefault="00000000">
      <w:pPr>
        <w:spacing w:after="0" w:line="240" w:lineRule="auto"/>
        <w:rPr>
          <w:rFonts w:cstheme="minorHAnsi"/>
        </w:rPr>
      </w:pPr>
      <w:r>
        <w:rPr>
          <w:rFonts w:cstheme="minorHAnsi"/>
        </w:rPr>
        <w:t>Ashen Randika</w:t>
      </w:r>
      <w:proofErr w:type="gramStart"/>
      <w:r>
        <w:rPr>
          <w:rFonts w:cstheme="minorHAnsi"/>
          <w:vertAlign w:val="superscript"/>
        </w:rPr>
        <w:t>1,</w:t>
      </w:r>
      <w:r>
        <w:rPr>
          <w:rFonts w:cstheme="minorHAnsi"/>
        </w:rPr>
        <w:t>*</w:t>
      </w:r>
      <w:proofErr w:type="gramEnd"/>
      <w:r>
        <w:rPr>
          <w:rFonts w:cstheme="minorHAnsi"/>
        </w:rPr>
        <w:t xml:space="preserve">*, </w:t>
      </w:r>
      <w:proofErr w:type="spellStart"/>
      <w:r>
        <w:rPr>
          <w:rFonts w:cstheme="minorHAnsi"/>
        </w:rPr>
        <w:t>Zhineng</w:t>
      </w:r>
      <w:proofErr w:type="spellEnd"/>
      <w:r>
        <w:rPr>
          <w:rFonts w:cstheme="minorHAnsi"/>
        </w:rPr>
        <w:t xml:space="preserve"> Hao</w:t>
      </w:r>
      <w:r>
        <w:rPr>
          <w:rFonts w:cstheme="minorHAnsi"/>
          <w:vertAlign w:val="superscript"/>
        </w:rPr>
        <w:t>1,</w:t>
      </w:r>
      <w:r>
        <w:rPr>
          <w:rFonts w:cstheme="minorHAnsi"/>
        </w:rPr>
        <w:t xml:space="preserve">*, </w:t>
      </w:r>
      <w:proofErr w:type="spellStart"/>
      <w:r>
        <w:rPr>
          <w:rFonts w:cstheme="minorHAnsi"/>
        </w:rPr>
        <w:t>Yuansong</w:t>
      </w:r>
      <w:proofErr w:type="spellEnd"/>
      <w:r>
        <w:rPr>
          <w:rFonts w:cstheme="minorHAnsi"/>
        </w:rPr>
        <w:t xml:space="preserve"> Wei</w:t>
      </w:r>
      <w:r>
        <w:rPr>
          <w:rFonts w:cstheme="minorHAnsi"/>
          <w:vertAlign w:val="superscript"/>
        </w:rPr>
        <w:t>2,3,4,</w:t>
      </w:r>
      <w:r>
        <w:rPr>
          <w:rFonts w:cstheme="minorHAnsi" w:hint="eastAsia"/>
          <w:vertAlign w:val="superscript"/>
        </w:rPr>
        <w:t>*</w:t>
      </w:r>
      <w:r>
        <w:rPr>
          <w:rFonts w:cstheme="minorHAnsi"/>
        </w:rPr>
        <w:t xml:space="preserve">, </w:t>
      </w:r>
      <w:proofErr w:type="spellStart"/>
      <w:r>
        <w:rPr>
          <w:rFonts w:cstheme="minorHAnsi"/>
        </w:rPr>
        <w:t>Yawei</w:t>
      </w:r>
      <w:proofErr w:type="spellEnd"/>
      <w:r>
        <w:rPr>
          <w:rFonts w:cstheme="minorHAnsi"/>
        </w:rPr>
        <w:t xml:space="preserve"> Wang</w:t>
      </w:r>
      <w:r>
        <w:rPr>
          <w:rFonts w:cstheme="minorHAnsi"/>
          <w:vertAlign w:val="superscript"/>
        </w:rPr>
        <w:t>4</w:t>
      </w:r>
      <w:r>
        <w:rPr>
          <w:rFonts w:cstheme="minorHAnsi"/>
        </w:rPr>
        <w:t>, Hui Zhong</w:t>
      </w:r>
      <w:r>
        <w:rPr>
          <w:rFonts w:cstheme="minorHAnsi"/>
          <w:vertAlign w:val="superscript"/>
        </w:rPr>
        <w:t>4</w:t>
      </w:r>
      <w:r>
        <w:rPr>
          <w:rFonts w:cstheme="minorHAnsi"/>
        </w:rPr>
        <w:t xml:space="preserve">, </w:t>
      </w:r>
      <w:proofErr w:type="spellStart"/>
      <w:r>
        <w:rPr>
          <w:rFonts w:cstheme="minorHAnsi"/>
        </w:rPr>
        <w:t>Madhubhashini</w:t>
      </w:r>
      <w:proofErr w:type="spellEnd"/>
      <w:r>
        <w:rPr>
          <w:rFonts w:cstheme="minorHAnsi"/>
        </w:rPr>
        <w:t xml:space="preserve"> Makehelwala</w:t>
      </w:r>
      <w:r>
        <w:rPr>
          <w:rFonts w:cstheme="minorHAnsi"/>
          <w:vertAlign w:val="superscript"/>
        </w:rPr>
        <w:t>5</w:t>
      </w:r>
      <w:r>
        <w:rPr>
          <w:rFonts w:cstheme="minorHAnsi"/>
        </w:rPr>
        <w:t xml:space="preserve">, </w:t>
      </w:r>
      <w:proofErr w:type="spellStart"/>
      <w:r>
        <w:rPr>
          <w:rFonts w:cstheme="minorHAnsi"/>
        </w:rPr>
        <w:t>Sujithra</w:t>
      </w:r>
      <w:proofErr w:type="spellEnd"/>
      <w:r>
        <w:rPr>
          <w:rFonts w:cstheme="minorHAnsi"/>
        </w:rPr>
        <w:t xml:space="preserve"> K. Weragoda</w:t>
      </w:r>
      <w:r>
        <w:rPr>
          <w:rFonts w:cstheme="minorHAnsi"/>
          <w:vertAlign w:val="superscript"/>
        </w:rPr>
        <w:t>6</w:t>
      </w:r>
      <w:r>
        <w:rPr>
          <w:rFonts w:cstheme="minorHAnsi"/>
        </w:rPr>
        <w:t>, Rohan Weerasooriya</w:t>
      </w:r>
      <w:r>
        <w:rPr>
          <w:rFonts w:cstheme="minorHAnsi"/>
          <w:vertAlign w:val="superscript"/>
        </w:rPr>
        <w:t>7</w:t>
      </w:r>
    </w:p>
    <w:p w14:paraId="112D2BCE" w14:textId="77777777" w:rsidR="009832E1" w:rsidRDefault="00000000">
      <w:pPr>
        <w:spacing w:after="0" w:line="240" w:lineRule="auto"/>
        <w:rPr>
          <w:rFonts w:cstheme="minorHAnsi"/>
        </w:rPr>
      </w:pPr>
      <w:hyperlink r:id="rId8" w:history="1">
        <w:r w:rsidR="009832E1">
          <w:rPr>
            <w:rStyle w:val="Hyperlink"/>
            <w:rFonts w:cstheme="minorHAnsi"/>
          </w:rPr>
          <w:t>ashen_st@rcees.ac.cn**</w:t>
        </w:r>
      </w:hyperlink>
      <w:r w:rsidR="009832E1">
        <w:rPr>
          <w:rFonts w:cstheme="minorHAnsi"/>
        </w:rPr>
        <w:t xml:space="preserve"> ,  </w:t>
      </w:r>
      <w:hyperlink r:id="rId9" w:history="1">
        <w:r w:rsidR="009832E1">
          <w:rPr>
            <w:rStyle w:val="Hyperlink"/>
            <w:rFonts w:cstheme="minorHAnsi"/>
          </w:rPr>
          <w:t>znhao@rcees.ac.cn*</w:t>
        </w:r>
      </w:hyperlink>
      <w:r w:rsidR="009832E1">
        <w:rPr>
          <w:rStyle w:val="Hyperlink"/>
          <w:rFonts w:cstheme="minorHAnsi" w:hint="eastAsia"/>
        </w:rPr>
        <w:t>, yswei@rcees.ac.cn</w:t>
      </w:r>
      <w:r w:rsidR="009832E1">
        <w:rPr>
          <w:rFonts w:cstheme="minorHAnsi"/>
        </w:rPr>
        <w:t xml:space="preserve"> </w:t>
      </w:r>
    </w:p>
    <w:p w14:paraId="0CF63237" w14:textId="77777777" w:rsidR="009832E1" w:rsidRDefault="009832E1">
      <w:pPr>
        <w:spacing w:after="0" w:line="240" w:lineRule="auto"/>
        <w:rPr>
          <w:rFonts w:cstheme="minorHAnsi"/>
        </w:rPr>
      </w:pPr>
    </w:p>
    <w:p w14:paraId="5BF11A2E" w14:textId="77777777" w:rsidR="009832E1" w:rsidRDefault="00000000">
      <w:pPr>
        <w:spacing w:after="0" w:line="240" w:lineRule="auto"/>
        <w:rPr>
          <w:rStyle w:val="Hyperlink"/>
          <w:rFonts w:cstheme="minorHAnsi"/>
        </w:rPr>
      </w:pPr>
      <w:r>
        <w:rPr>
          <w:rFonts w:cstheme="minorHAnsi"/>
          <w:vertAlign w:val="superscript"/>
        </w:rPr>
        <w:t>1</w:t>
      </w:r>
      <w:r>
        <w:rPr>
          <w:rFonts w:cstheme="minorHAnsi"/>
        </w:rPr>
        <w:t xml:space="preserve">State Key Laboratory of Environmental Chemistry and </w:t>
      </w:r>
      <w:r>
        <w:rPr>
          <w:rFonts w:cstheme="minorHAnsi" w:hint="eastAsia"/>
        </w:rPr>
        <w:t>T</w:t>
      </w:r>
      <w:r>
        <w:rPr>
          <w:rFonts w:cstheme="minorHAnsi"/>
        </w:rPr>
        <w:t>oxicology, Research Center for Eco-Environmental Sciences, Chinese Academy of Sciences, Beijing, 100085 China</w:t>
      </w:r>
    </w:p>
    <w:p w14:paraId="4B864B60" w14:textId="77777777" w:rsidR="009832E1" w:rsidRDefault="00000000">
      <w:pPr>
        <w:spacing w:after="0" w:line="240" w:lineRule="auto"/>
        <w:rPr>
          <w:rFonts w:cstheme="minorHAnsi"/>
        </w:rPr>
      </w:pPr>
      <w:r>
        <w:rPr>
          <w:rFonts w:cstheme="minorHAnsi"/>
          <w:vertAlign w:val="superscript"/>
        </w:rPr>
        <w:t>2</w:t>
      </w:r>
      <w:r>
        <w:rPr>
          <w:rFonts w:cstheme="minorHAnsi"/>
        </w:rPr>
        <w:t xml:space="preserve">State Key Laboratory of Regional Environment and Sustainability, Research </w:t>
      </w:r>
    </w:p>
    <w:p w14:paraId="7A067498" w14:textId="77777777" w:rsidR="009832E1" w:rsidRDefault="00000000">
      <w:pPr>
        <w:spacing w:after="0" w:line="240" w:lineRule="auto"/>
        <w:rPr>
          <w:rFonts w:cstheme="minorHAnsi"/>
        </w:rPr>
      </w:pPr>
      <w:r>
        <w:rPr>
          <w:rFonts w:cstheme="minorHAnsi"/>
        </w:rPr>
        <w:t xml:space="preserve">Center for Eco-Environmental Sciences, Chinese Academy of Sciences, Beijing </w:t>
      </w:r>
    </w:p>
    <w:p w14:paraId="64B3D970" w14:textId="77777777" w:rsidR="009832E1" w:rsidRDefault="00000000">
      <w:pPr>
        <w:spacing w:after="0" w:line="240" w:lineRule="auto"/>
        <w:rPr>
          <w:rFonts w:cstheme="minorHAnsi"/>
        </w:rPr>
      </w:pPr>
      <w:r>
        <w:rPr>
          <w:rFonts w:cstheme="minorHAnsi"/>
        </w:rPr>
        <w:t>100085, China</w:t>
      </w:r>
    </w:p>
    <w:p w14:paraId="62A97F04" w14:textId="77777777" w:rsidR="009832E1" w:rsidRDefault="00000000">
      <w:pPr>
        <w:spacing w:after="0" w:line="240" w:lineRule="auto"/>
        <w:rPr>
          <w:rFonts w:cstheme="minorHAnsi"/>
        </w:rPr>
      </w:pPr>
      <w:r>
        <w:rPr>
          <w:rFonts w:cstheme="minorHAnsi"/>
          <w:vertAlign w:val="superscript"/>
        </w:rPr>
        <w:t>3</w:t>
      </w:r>
      <w:r>
        <w:rPr>
          <w:rFonts w:cstheme="minorHAnsi"/>
        </w:rPr>
        <w:t>Laboratory of Water Pollution Control Technology, Research Center for Eco-Environmental Sciences, Chinese Academy of Sciences, Beijing 100085, China</w:t>
      </w:r>
    </w:p>
    <w:p w14:paraId="1B7ABAC9" w14:textId="77777777" w:rsidR="009832E1" w:rsidRDefault="00000000">
      <w:pPr>
        <w:spacing w:after="0" w:line="240" w:lineRule="auto"/>
        <w:rPr>
          <w:rFonts w:cstheme="minorHAnsi"/>
        </w:rPr>
      </w:pPr>
      <w:r>
        <w:rPr>
          <w:rFonts w:cstheme="minorHAnsi"/>
          <w:vertAlign w:val="superscript"/>
        </w:rPr>
        <w:t>4</w:t>
      </w:r>
      <w:r>
        <w:rPr>
          <w:rFonts w:cstheme="minorHAnsi"/>
        </w:rPr>
        <w:t>University of Chinese Academy of Sciences, Beijing 100049, China</w:t>
      </w:r>
    </w:p>
    <w:p w14:paraId="4E5C6DF0" w14:textId="77777777" w:rsidR="009832E1" w:rsidRDefault="00000000">
      <w:pPr>
        <w:spacing w:after="0" w:line="240" w:lineRule="auto"/>
        <w:rPr>
          <w:rFonts w:cstheme="minorHAnsi"/>
        </w:rPr>
      </w:pPr>
      <w:r>
        <w:rPr>
          <w:rFonts w:cstheme="minorHAnsi"/>
          <w:vertAlign w:val="superscript"/>
        </w:rPr>
        <w:t>5</w:t>
      </w:r>
      <w:r>
        <w:rPr>
          <w:rFonts w:cstheme="minorHAnsi"/>
        </w:rPr>
        <w:t xml:space="preserve">China-Sri Lanka Joint Research and Demonstration Center for Water Technology, </w:t>
      </w:r>
    </w:p>
    <w:p w14:paraId="4AF25D83" w14:textId="77777777" w:rsidR="009832E1" w:rsidRDefault="00000000">
      <w:pPr>
        <w:spacing w:after="0" w:line="240" w:lineRule="auto"/>
        <w:rPr>
          <w:rFonts w:cstheme="minorHAnsi"/>
          <w:lang w:val="it-IT"/>
        </w:rPr>
      </w:pPr>
      <w:r>
        <w:rPr>
          <w:rFonts w:cstheme="minorHAnsi"/>
          <w:lang w:val="it-IT"/>
        </w:rPr>
        <w:t>E.O.E Pereira Mawatha, Meewathura, Peradeniya, Sri Lanka</w:t>
      </w:r>
    </w:p>
    <w:p w14:paraId="4EFA55D0" w14:textId="77777777" w:rsidR="009832E1" w:rsidRDefault="00000000">
      <w:pPr>
        <w:spacing w:after="0" w:line="240" w:lineRule="auto"/>
        <w:rPr>
          <w:rFonts w:cstheme="minorHAnsi"/>
        </w:rPr>
      </w:pPr>
      <w:r>
        <w:rPr>
          <w:rFonts w:cstheme="minorHAnsi"/>
          <w:vertAlign w:val="superscript"/>
        </w:rPr>
        <w:t>6</w:t>
      </w:r>
      <w:r>
        <w:rPr>
          <w:rFonts w:cstheme="minorHAnsi"/>
        </w:rPr>
        <w:t>National Water Supply and Drainage Board, Sri Lanka</w:t>
      </w:r>
    </w:p>
    <w:p w14:paraId="74BAE3A0" w14:textId="77777777" w:rsidR="009832E1" w:rsidRDefault="00000000">
      <w:pPr>
        <w:spacing w:after="0" w:line="240" w:lineRule="auto"/>
        <w:rPr>
          <w:rFonts w:cstheme="minorHAnsi"/>
        </w:rPr>
      </w:pPr>
      <w:r>
        <w:rPr>
          <w:rFonts w:cstheme="minorHAnsi"/>
          <w:vertAlign w:val="superscript"/>
        </w:rPr>
        <w:t>7</w:t>
      </w:r>
      <w:r>
        <w:rPr>
          <w:rFonts w:cstheme="minorHAnsi"/>
        </w:rPr>
        <w:t xml:space="preserve">National Institute of Fundamental Studies, </w:t>
      </w:r>
      <w:proofErr w:type="spellStart"/>
      <w:r>
        <w:rPr>
          <w:rFonts w:cstheme="minorHAnsi"/>
        </w:rPr>
        <w:t>Hanthana</w:t>
      </w:r>
      <w:proofErr w:type="spellEnd"/>
      <w:r>
        <w:rPr>
          <w:rFonts w:cstheme="minorHAnsi"/>
        </w:rPr>
        <w:t xml:space="preserve"> Road, Kandy 20000, Sri Lanka</w:t>
      </w:r>
    </w:p>
    <w:p w14:paraId="40BB73E0" w14:textId="77777777" w:rsidR="009832E1" w:rsidRDefault="009832E1">
      <w:pPr>
        <w:spacing w:after="0" w:line="240" w:lineRule="auto"/>
        <w:rPr>
          <w:rFonts w:cstheme="minorHAnsi"/>
        </w:rPr>
      </w:pPr>
    </w:p>
    <w:p w14:paraId="725930DD" w14:textId="77777777" w:rsidR="009832E1" w:rsidRDefault="00000000">
      <w:r>
        <w:rPr>
          <w:rFonts w:cstheme="minorHAnsi"/>
          <w:b/>
          <w:bCs/>
        </w:rPr>
        <w:t xml:space="preserve">Keywords: </w:t>
      </w:r>
      <w:r>
        <w:rPr>
          <w:rFonts w:cstheme="minorHAnsi"/>
        </w:rPr>
        <w:t xml:space="preserve">Disinfection by-products </w:t>
      </w:r>
      <w:r>
        <w:t>formation potential</w:t>
      </w:r>
      <w:r>
        <w:rPr>
          <w:rFonts w:cstheme="minorHAnsi"/>
        </w:rPr>
        <w:t>; dissolved organic matter; wet season; downstream</w:t>
      </w:r>
    </w:p>
    <w:p w14:paraId="62B47BFA" w14:textId="77777777" w:rsidR="009832E1" w:rsidRDefault="00000000">
      <w:pPr>
        <w:spacing w:line="259" w:lineRule="auto"/>
      </w:pPr>
      <w:r>
        <w:rPr>
          <w:rFonts w:cstheme="minorHAnsi"/>
          <w:b/>
          <w:bCs/>
        </w:rPr>
        <w:t>Abstract</w:t>
      </w:r>
      <w:r>
        <w:t xml:space="preserve"> </w:t>
      </w:r>
    </w:p>
    <w:p w14:paraId="41052307" w14:textId="77777777" w:rsidR="009832E1" w:rsidRDefault="00000000">
      <w:pPr>
        <w:spacing w:line="259" w:lineRule="auto"/>
        <w:jc w:val="both"/>
      </w:pPr>
      <w:r>
        <w:t xml:space="preserve">The downstream </w:t>
      </w:r>
      <w:proofErr w:type="spellStart"/>
      <w:r>
        <w:t>Kelani</w:t>
      </w:r>
      <w:proofErr w:type="spellEnd"/>
      <w:r>
        <w:t xml:space="preserve"> River</w:t>
      </w:r>
      <w:r>
        <w:rPr>
          <w:rFonts w:hint="eastAsia"/>
        </w:rPr>
        <w:t xml:space="preserve"> in Sri Lanka</w:t>
      </w:r>
      <w:r>
        <w:t xml:space="preserve"> is highly vulnerable to monsoon-driven changes in water quality, leading to elevated dissolved organic matter (DOM) loading and enhanced formation of disinfection by-products (DBPs) during chlorination. This study quantified wet-season DBP formation potential (DBPFP) and characterized DOM at both bulk and molecular scales. Twenty-two downstream samples were analyzed for THMFP, HAAFP, DOC, SUVA₂₅₄, and fluorescence indices, while four representative samples underwent Fourier transform ion cyclotron resonance mass spectrometry (FT-ICR-MS). DOC concentrations ranged from 14.00–21.01 mg/L with a mean of 16.21 ± 1.81 mg/L, and all DBPFP values were normalized to DOC. THMFP ranged from 87.9–176.1 µg mg C⁻¹, and HAAFP from 18.4–24.8 µg mg C⁻¹, reflecting consistently high precursor reactivity. DOM exhibited low aromaticity (SUVA₂₅₄ = 0.13–0.87 L mg⁻¹ m⁻¹) and strong microbial signatures. FT-ICR-MS results showed DOM dominated by CHO formulas (75–82%), with moderate contributions from CHNO (9–11%) and CHOS (7–10%) species. Intensity-weighted indices (H/</w:t>
      </w:r>
      <w:proofErr w:type="spellStart"/>
      <w:r>
        <w:t>C_w</w:t>
      </w:r>
      <w:proofErr w:type="spellEnd"/>
      <w:r>
        <w:t xml:space="preserve"> = 1.21–1.23; O/</w:t>
      </w:r>
      <w:proofErr w:type="spellStart"/>
      <w:r>
        <w:t>C_w</w:t>
      </w:r>
      <w:proofErr w:type="spellEnd"/>
      <w:r>
        <w:t xml:space="preserve"> = 0.45–0.46; </w:t>
      </w:r>
      <w:proofErr w:type="spellStart"/>
      <w:r>
        <w:t>NOSC_w</w:t>
      </w:r>
      <w:proofErr w:type="spellEnd"/>
      <w:r>
        <w:t xml:space="preserve"> = −0.23 to −0.28) indicated unsaturated, low-aromatic, microbially influenced DOM highly reactive toward chlorination. The combined dataset demonstrates that microbially derived, low-aromatic DOM is the primary driver of elevated wet-season DBPFP in the downstream </w:t>
      </w:r>
      <w:proofErr w:type="spellStart"/>
      <w:r>
        <w:t>Kelani</w:t>
      </w:r>
      <w:proofErr w:type="spellEnd"/>
      <w:r>
        <w:t xml:space="preserve"> River.</w:t>
      </w:r>
      <w:r>
        <w:br w:type="page"/>
      </w:r>
    </w:p>
    <w:p w14:paraId="7D1D8B05" w14:textId="77777777" w:rsidR="009832E1" w:rsidRDefault="00000000">
      <w:pPr>
        <w:rPr>
          <w:b/>
          <w:bCs/>
        </w:rPr>
      </w:pPr>
      <w:r>
        <w:rPr>
          <w:b/>
          <w:bCs/>
        </w:rPr>
        <w:lastRenderedPageBreak/>
        <w:t>Introduction</w:t>
      </w:r>
    </w:p>
    <w:p w14:paraId="716B49F5" w14:textId="096DDC95" w:rsidR="009832E1" w:rsidRDefault="00000000">
      <w:pPr>
        <w:spacing w:line="240" w:lineRule="auto"/>
        <w:jc w:val="both"/>
      </w:pPr>
      <w:r>
        <w:t>Disinfection by-products (DBPs) form when disinfectants such as chlorine react with dissolved organic matter (DOM) during drinking water treatment. Their formation depends not only on DOM chemical structure but also on its bulk concentration, typically measured as dissolved organic carbon (DOC). In monsoon-influenced tropical rivers, storm-driven hydrological pulses mobilize large quantities of organic carbon from catchments, leading to sharp increases in DOC and substantial shifts in DOM composition</w:t>
      </w:r>
      <w:sdt>
        <w:sdtPr>
          <w:rPr>
            <w:rFonts w:ascii="Calibri" w:hAnsi="Calibri" w:cs="Calibri"/>
            <w:color w:val="000000"/>
          </w:rPr>
          <w:tag w:val="MENDELEY_CITATION_v3_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"/>
          <w:id w:val="1894381687"/>
          <w:placeholder>
            <w:docPart w:val="DefaultPlaceholder_-1854013440"/>
          </w:placeholder>
        </w:sdtPr>
        <w:sdtContent>
          <w:r w:rsidR="002876F3" w:rsidRPr="002876F3">
            <w:rPr>
              <w:rFonts w:ascii="Calibri" w:hAnsi="Calibri" w:cs="Calibri"/>
              <w:color w:val="000000"/>
            </w:rPr>
            <w:t>(Zhou et al., 2019)</w:t>
          </w:r>
        </w:sdtContent>
      </w:sdt>
      <w:r>
        <w:t xml:space="preserve">. These seasonal changes strongly influence DBP precursor availability and reactivity, particularly in downstream regions that receive cumulative inputs from urban runoff, storm drains, and wastewater discharges. The </w:t>
      </w:r>
      <w:proofErr w:type="spellStart"/>
      <w:r>
        <w:t>Kelani</w:t>
      </w:r>
      <w:proofErr w:type="spellEnd"/>
      <w:r>
        <w:t xml:space="preserve"> River</w:t>
      </w:r>
      <w:r>
        <w:rPr>
          <w:rFonts w:hint="eastAsia"/>
        </w:rPr>
        <w:t xml:space="preserve"> as</w:t>
      </w:r>
      <w:r>
        <w:t xml:space="preserve"> the main drinking water source</w:t>
      </w:r>
      <w:r>
        <w:rPr>
          <w:rFonts w:hint="eastAsia"/>
        </w:rPr>
        <w:t xml:space="preserve"> supplying about 80% of water </w:t>
      </w:r>
      <w:r>
        <w:t>for the Colombo Metropolitan Region is highly vulnerable to monsoon-driven fluctuations in both DOC levels and DOM quality</w:t>
      </w:r>
      <w:sdt>
        <w:sdtPr>
          <w:rPr>
            <w:rFonts w:ascii="Calibri" w:hAnsi="Calibri" w:cs="Calibri"/>
            <w:color w:val="000000"/>
          </w:rPr>
          <w:tag w:val="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"/>
          <w:id w:val="-1417781955"/>
          <w:placeholder>
            <w:docPart w:val="DefaultPlaceholder_-1854013440"/>
          </w:placeholder>
        </w:sdtPr>
        <w:sdtContent>
          <w:r w:rsidR="002876F3" w:rsidRPr="002876F3">
            <w:rPr>
              <w:rFonts w:ascii="Calibri" w:hAnsi="Calibri" w:cs="Calibri"/>
              <w:color w:val="000000"/>
            </w:rPr>
            <w:t>(He et al., 2022; Zhang et al., 2023)</w:t>
          </w:r>
        </w:sdtContent>
      </w:sdt>
      <w:r>
        <w:t xml:space="preserve">. Downstream segments receive the highest pollutant loads and exhibit the greatest temporal variability in DOC, making them critical zones for DBP formation risk assessment. </w:t>
      </w:r>
      <w:r>
        <w:rPr>
          <w:rFonts w:hint="eastAsia"/>
        </w:rPr>
        <w:t xml:space="preserve">Therefore, the "Nationally Determined Contribution Implementation Plan (2021-2030)" issued by Sri Lanka lists the </w:t>
      </w:r>
      <w:proofErr w:type="spellStart"/>
      <w:r>
        <w:rPr>
          <w:rFonts w:hint="eastAsia"/>
        </w:rPr>
        <w:t>Kelani</w:t>
      </w:r>
      <w:proofErr w:type="spellEnd"/>
      <w:r>
        <w:rPr>
          <w:rFonts w:hint="eastAsia"/>
        </w:rPr>
        <w:t xml:space="preserve"> River as one of the 15 rivers for priority implementation of integrated river basin management. </w:t>
      </w:r>
      <w:r>
        <w:t xml:space="preserve">However, </w:t>
      </w:r>
      <w:r>
        <w:rPr>
          <w:rFonts w:hint="eastAsia"/>
        </w:rPr>
        <w:t>limited by the level of economic and social development, Sri Lanka lacks the ability to detect, identify, reduce and control dissolved organic matter (DOM) and DBPs in water plants</w:t>
      </w:r>
      <w:sdt>
        <w:sdtPr>
          <w:rPr>
            <w:rFonts w:ascii="Calibri" w:hAnsi="Calibri" w:cs="Calibri" w:hint="eastAsia"/>
            <w:color w:val="000000"/>
          </w:rPr>
          <w:tag w:val="MENDELEY_CITATION_v3_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"/>
          <w:id w:val="-1640720553"/>
          <w:placeholder>
            <w:docPart w:val="DefaultPlaceholder_-1854013440"/>
          </w:placeholder>
        </w:sdtPr>
        <w:sdtContent>
          <w:r w:rsidR="002876F3" w:rsidRPr="002876F3">
            <w:rPr>
              <w:rFonts w:ascii="Calibri" w:hAnsi="Calibri" w:cs="Calibri"/>
              <w:color w:val="000000"/>
            </w:rPr>
            <w:t>(</w:t>
          </w:r>
          <w:proofErr w:type="spellStart"/>
          <w:r w:rsidR="002876F3" w:rsidRPr="002876F3">
            <w:rPr>
              <w:rFonts w:ascii="Calibri" w:hAnsi="Calibri" w:cs="Calibri"/>
              <w:color w:val="000000"/>
            </w:rPr>
            <w:t>Surasinghe</w:t>
          </w:r>
          <w:proofErr w:type="spellEnd"/>
          <w:r w:rsidR="002876F3" w:rsidRPr="002876F3">
            <w:rPr>
              <w:rFonts w:ascii="Calibri" w:hAnsi="Calibri" w:cs="Calibri"/>
              <w:color w:val="000000"/>
            </w:rPr>
            <w:t xml:space="preserve"> et al., 2020)</w:t>
          </w:r>
        </w:sdtContent>
      </w:sdt>
      <w:r>
        <w:rPr>
          <w:rFonts w:hint="eastAsia"/>
        </w:rPr>
        <w:t xml:space="preserve">. For example, Sri Lanka's drinking water standards </w:t>
      </w:r>
      <w:proofErr w:type="gramStart"/>
      <w:r>
        <w:rPr>
          <w:rFonts w:hint="eastAsia"/>
        </w:rPr>
        <w:t>( SLS</w:t>
      </w:r>
      <w:proofErr w:type="gramEnd"/>
      <w:r>
        <w:rPr>
          <w:rFonts w:hint="eastAsia"/>
        </w:rPr>
        <w:t xml:space="preserve"> 614-2013 ) do not have disinfection by-product indicators, it refers to the World Health Organization's "Guidelines for Drinking Water Quality" (4th edition) and the United States "National Drinking Water Quality Standards" (EPA-816-F-09-004). In addition, Sri Lanka lacks a special drinking water source protection policy and urgently needs scientific and technological support.</w:t>
      </w:r>
    </w:p>
    <w:p w14:paraId="3C0121AF" w14:textId="0B743ABC" w:rsidR="009832E1" w:rsidRDefault="00000000">
      <w:pPr>
        <w:spacing w:line="240" w:lineRule="auto"/>
        <w:jc w:val="both"/>
      </w:pPr>
      <w:r>
        <w:rPr>
          <w:rFonts w:hint="eastAsia"/>
        </w:rPr>
        <w:t>W</w:t>
      </w:r>
      <w:r>
        <w:t>hile bulk optical indicators such as SUVA₂₅₄, FI, BIX, and HIX provide insights into aromaticity, microbial contributions and humification, they cannot reveal the detailed molecular-level characteristics of DOM responsible for DBP formation. Fourier transform ion cyclotron resonance mass spectrometry (FT-ICR-MS) provides ultrahigh-resolution molecular characterization capable of identifying thousands of DOM formulas and resolving elemental classes (CHO, CHNO, CHOS, CHNOS). Combined with DOC-normalized DBPFP measurements, FT-ICR-MS enables a mechanistic understanding of how specific molecular features such as saturation level, heteroatom content, and oxidation state influence chlorination reactivity.</w:t>
      </w:r>
    </w:p>
    <w:p w14:paraId="0E92488D" w14:textId="6FD54A83" w:rsidR="009832E1" w:rsidRDefault="00000000">
      <w:pPr>
        <w:spacing w:line="240" w:lineRule="auto"/>
        <w:jc w:val="both"/>
      </w:pPr>
      <w:r>
        <w:t xml:space="preserve">This study </w:t>
      </w:r>
      <w:r>
        <w:rPr>
          <w:rFonts w:hint="eastAsia"/>
        </w:rPr>
        <w:t xml:space="preserve">thus </w:t>
      </w:r>
      <w:r>
        <w:t>integrates DOC measurements, bulk optical characterization, DBP formation potential assays, and FT-ICR-MS molecular analysis to:</w:t>
      </w:r>
      <w:r>
        <w:rPr>
          <w:rFonts w:hint="eastAsia"/>
        </w:rPr>
        <w:t xml:space="preserve"> </w:t>
      </w:r>
      <w:r>
        <w:t>(1) quantify wet-season DOC variability and DBP precursor loads;</w:t>
      </w:r>
      <w:r>
        <w:rPr>
          <w:rFonts w:hint="eastAsia"/>
        </w:rPr>
        <w:t xml:space="preserve"> </w:t>
      </w:r>
      <w:r>
        <w:t xml:space="preserve">(2) characterize DOM structural features at both chemical and molecular scales; (3) determine how DOM composition and oxidation state explain DBP formation in the downstream </w:t>
      </w:r>
      <w:proofErr w:type="spellStart"/>
      <w:r>
        <w:t>Kelani</w:t>
      </w:r>
      <w:proofErr w:type="spellEnd"/>
      <w:r>
        <w:t xml:space="preserve"> River</w:t>
      </w:r>
      <w:r>
        <w:rPr>
          <w:rFonts w:hint="eastAsia"/>
        </w:rPr>
        <w:t>, and provide support Sri Lanka to achieve the UN SDG 6 (Clean water and Sanitat</w:t>
      </w:r>
      <w:r w:rsidR="003B4839">
        <w:rPr>
          <w:rFonts w:hint="eastAsia"/>
        </w:rPr>
        <w:t>i</w:t>
      </w:r>
      <w:r>
        <w:rPr>
          <w:rFonts w:hint="eastAsia"/>
        </w:rPr>
        <w:t>on)</w:t>
      </w:r>
      <w:r>
        <w:t>.</w:t>
      </w:r>
    </w:p>
    <w:p w14:paraId="1CF5F0B6" w14:textId="77777777" w:rsidR="009832E1" w:rsidRDefault="00000000">
      <w:pPr>
        <w:spacing w:line="240" w:lineRule="auto"/>
        <w:jc w:val="both"/>
      </w:pPr>
      <w:r>
        <w:rPr>
          <w:rFonts w:cstheme="minorHAnsi"/>
          <w:b/>
          <w:bCs/>
        </w:rPr>
        <w:t>Methodology</w:t>
      </w:r>
    </w:p>
    <w:p w14:paraId="22204565" w14:textId="60AD14A2" w:rsidR="009832E1" w:rsidRDefault="00000000">
      <w:pPr>
        <w:jc w:val="both"/>
      </w:pPr>
      <w:r>
        <w:t>Twenty-two downstream water samples were collected during the 2024 wet monsoon from locations influenced by urban runoff, industrial effluents, and stormwater drainage. Dissolved organic carbon (DOC) was measured using a TOC analyzer, and optical properties of DOM—</w:t>
      </w:r>
      <w:r>
        <w:lastRenderedPageBreak/>
        <w:t>including SUVA₂₅₄, fluorescence index (FI), biological index (BIX), and humification index (HIX)—were determined using UV–</w:t>
      </w:r>
      <w:proofErr w:type="gramStart"/>
      <w:r>
        <w:t>Vis</w:t>
      </w:r>
      <w:proofErr w:type="gramEnd"/>
      <w:r>
        <w:t xml:space="preserve"> spectroscopy and </w:t>
      </w:r>
      <w:r>
        <w:rPr>
          <w:rFonts w:hint="eastAsia"/>
        </w:rPr>
        <w:t xml:space="preserve">three dimension </w:t>
      </w:r>
      <w:r>
        <w:t xml:space="preserve">excitation–emission matrix </w:t>
      </w:r>
      <w:r>
        <w:rPr>
          <w:rFonts w:hint="eastAsia"/>
        </w:rPr>
        <w:t xml:space="preserve">(3D EEM) </w:t>
      </w:r>
      <w:r>
        <w:t xml:space="preserve">fluorescence. Disinfection by-product formation potential (DBPFP) assays for trihalomethanes (THMFP), </w:t>
      </w:r>
      <w:proofErr w:type="spellStart"/>
      <w:r>
        <w:t>haloacetic</w:t>
      </w:r>
      <w:proofErr w:type="spellEnd"/>
      <w:r>
        <w:t xml:space="preserve"> acids (HAAFP), </w:t>
      </w:r>
      <w:proofErr w:type="spellStart"/>
      <w:r>
        <w:t>haloacetonitriles</w:t>
      </w:r>
      <w:proofErr w:type="spellEnd"/>
      <w:r>
        <w:t xml:space="preserve"> (HANFP), and chloral hydrate (CHD) were performed following Standard Methods by chlorinating samples at controlled chlorine doses, incubating them for seven days, quenching residual chlorine, and analyzing DBPs via gas chromatography with electron-capture detection; all DBPFP values were normalized to DOC (µg DBP per mg C) to evaluate precursor reactivity independently of carbon concentration. To resolve DOM composition at the molecular scale, four representative samples covering low, medium, and high DBPFP levels were subjected to solid-phase extraction and analyzed using Fourier transform ion cyclotron resonance mass spectrometry (FT-ICR-MS). Assigned formulas were filtered by mass accuracy and isotopic patterns, grouped into elemental classes (CHO, CHNO, CHOS, CHNOS), and used to calculate intensity-weighted molecular indices including H/C, O/C, DBE/C, </w:t>
      </w:r>
      <w:proofErr w:type="spellStart"/>
      <w:r>
        <w:t>AI_mod</w:t>
      </w:r>
      <w:proofErr w:type="spellEnd"/>
      <w:r>
        <w:t>, and NOSC to characterize DOM saturation, aromaticity, and oxidation state</w:t>
      </w:r>
      <w:sdt>
        <w:sdtPr>
          <w:rPr>
            <w:rFonts w:ascii="Calibri" w:hAnsi="Calibri" w:cs="Calibri"/>
            <w:color w:val="000000"/>
          </w:rPr>
          <w:tag w:val="MENDELEY_CITATION_v3_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"/>
          <w:id w:val="-1062485346"/>
          <w:placeholder>
            <w:docPart w:val="DefaultPlaceholder_-1854013440"/>
          </w:placeholder>
        </w:sdtPr>
        <w:sdtContent>
          <w:r w:rsidR="002876F3" w:rsidRPr="002876F3">
            <w:rPr>
              <w:rFonts w:ascii="Calibri" w:hAnsi="Calibri" w:cs="Calibri"/>
              <w:color w:val="000000"/>
            </w:rPr>
            <w:t>(Peng et al., 2020)</w:t>
          </w:r>
        </w:sdtContent>
      </w:sdt>
      <w:r>
        <w:t>.</w:t>
      </w:r>
    </w:p>
    <w:p w14:paraId="4B12EDE9" w14:textId="77777777" w:rsidR="009832E1" w:rsidRDefault="00000000">
      <w:pPr>
        <w:spacing w:line="240" w:lineRule="auto"/>
        <w:jc w:val="both"/>
        <w:rPr>
          <w:rFonts w:cstheme="minorHAnsi"/>
          <w:b/>
          <w:bCs/>
        </w:rPr>
      </w:pPr>
      <w:r>
        <w:rPr>
          <w:rFonts w:cstheme="minorHAnsi"/>
          <w:b/>
          <w:bCs/>
        </w:rPr>
        <w:t>Results</w:t>
      </w:r>
    </w:p>
    <w:p w14:paraId="303DE2A8" w14:textId="4C799E92" w:rsidR="009832E1" w:rsidRDefault="00000000">
      <w:pPr>
        <w:pStyle w:val="Caption"/>
        <w:keepNext/>
        <w:jc w:val="both"/>
        <w:rPr>
          <w:i w:val="0"/>
          <w:iCs w:val="0"/>
          <w:color w:val="000000" w:themeColor="text1"/>
          <w:sz w:val="24"/>
          <w:szCs w:val="24"/>
        </w:rPr>
      </w:pPr>
      <w:r>
        <w:rPr>
          <w:i w:val="0"/>
          <w:iCs w:val="0"/>
          <w:color w:val="000000" w:themeColor="text1"/>
          <w:sz w:val="24"/>
          <w:szCs w:val="24"/>
        </w:rPr>
        <w:t xml:space="preserve">DOC concentrations in the downstream </w:t>
      </w:r>
      <w:proofErr w:type="spellStart"/>
      <w:r>
        <w:rPr>
          <w:i w:val="0"/>
          <w:iCs w:val="0"/>
          <w:color w:val="000000" w:themeColor="text1"/>
          <w:sz w:val="24"/>
          <w:szCs w:val="24"/>
        </w:rPr>
        <w:t>Kelani</w:t>
      </w:r>
      <w:proofErr w:type="spellEnd"/>
      <w:r>
        <w:rPr>
          <w:i w:val="0"/>
          <w:iCs w:val="0"/>
          <w:color w:val="000000" w:themeColor="text1"/>
          <w:sz w:val="24"/>
          <w:szCs w:val="24"/>
        </w:rPr>
        <w:t xml:space="preserve"> River during the wet season ranged from 14.00 to 21.01 mg/L (mean 16.21 ± 1.81 mg/L), while SUVA₂₅₄ values were low (0.13–0.87 L mg⁻¹ m⁻¹), indicating low-aromatic DOM</w:t>
      </w:r>
      <w:r w:rsidR="003B4839">
        <w:rPr>
          <w:rFonts w:hint="eastAsia"/>
          <w:i w:val="0"/>
          <w:iCs w:val="0"/>
          <w:color w:val="000000" w:themeColor="text1"/>
          <w:sz w:val="24"/>
          <w:szCs w:val="24"/>
        </w:rPr>
        <w:t xml:space="preserve"> as shown in Table 1</w:t>
      </w:r>
      <w:r>
        <w:rPr>
          <w:i w:val="0"/>
          <w:iCs w:val="0"/>
          <w:color w:val="000000" w:themeColor="text1"/>
          <w:sz w:val="24"/>
          <w:szCs w:val="24"/>
        </w:rPr>
        <w:t>. Despite moderate DOC levels, DBP formation potential was high, with THMFP ranging from 87.9 to 176.1 µg mg C⁻¹ and HAAFP from 18.4 to 24.8 µg mg C⁻¹, whereas HANFP and chloral hydrate showed episodic increases during storm-related inputs. FT-ICR-MS analysis of four representative samples showed that DOM was dominated by CHO formulas (79.2%), with smaller fractions of CHNO (9.8%), CHOS (8.7%), and CHNOS (3.5%), and exhibited low-aromatic, unsaturated characteristics (H/</w:t>
      </w:r>
      <w:proofErr w:type="spellStart"/>
      <w:r>
        <w:rPr>
          <w:i w:val="0"/>
          <w:iCs w:val="0"/>
          <w:color w:val="000000" w:themeColor="text1"/>
          <w:sz w:val="24"/>
          <w:szCs w:val="24"/>
        </w:rPr>
        <w:t>C₍w</w:t>
      </w:r>
      <w:proofErr w:type="spellEnd"/>
      <w:r>
        <w:rPr>
          <w:i w:val="0"/>
          <w:iCs w:val="0"/>
          <w:color w:val="000000" w:themeColor="text1"/>
          <w:sz w:val="24"/>
          <w:szCs w:val="24"/>
        </w:rPr>
        <w:t>₎ = 1.22, O/</w:t>
      </w:r>
      <w:proofErr w:type="spellStart"/>
      <w:r>
        <w:rPr>
          <w:i w:val="0"/>
          <w:iCs w:val="0"/>
          <w:color w:val="000000" w:themeColor="text1"/>
          <w:sz w:val="24"/>
          <w:szCs w:val="24"/>
        </w:rPr>
        <w:t>C₍w</w:t>
      </w:r>
      <w:proofErr w:type="spellEnd"/>
      <w:r>
        <w:rPr>
          <w:i w:val="0"/>
          <w:iCs w:val="0"/>
          <w:color w:val="000000" w:themeColor="text1"/>
          <w:sz w:val="24"/>
          <w:szCs w:val="24"/>
        </w:rPr>
        <w:t>₎ = 0.45, DBE/</w:t>
      </w:r>
      <w:proofErr w:type="spellStart"/>
      <w:r>
        <w:rPr>
          <w:i w:val="0"/>
          <w:iCs w:val="0"/>
          <w:color w:val="000000" w:themeColor="text1"/>
          <w:sz w:val="24"/>
          <w:szCs w:val="24"/>
        </w:rPr>
        <w:t>C₍w</w:t>
      </w:r>
      <w:proofErr w:type="spellEnd"/>
      <w:r>
        <w:rPr>
          <w:i w:val="0"/>
          <w:iCs w:val="0"/>
          <w:color w:val="000000" w:themeColor="text1"/>
          <w:sz w:val="24"/>
          <w:szCs w:val="24"/>
        </w:rPr>
        <w:t xml:space="preserve">₎ = 0.445, </w:t>
      </w:r>
      <w:proofErr w:type="spellStart"/>
      <w:r>
        <w:rPr>
          <w:i w:val="0"/>
          <w:iCs w:val="0"/>
          <w:color w:val="000000" w:themeColor="text1"/>
          <w:sz w:val="24"/>
          <w:szCs w:val="24"/>
        </w:rPr>
        <w:t>AI_mod₍w</w:t>
      </w:r>
      <w:proofErr w:type="spellEnd"/>
      <w:r>
        <w:rPr>
          <w:i w:val="0"/>
          <w:iCs w:val="0"/>
          <w:color w:val="000000" w:themeColor="text1"/>
          <w:sz w:val="24"/>
          <w:szCs w:val="24"/>
        </w:rPr>
        <w:t xml:space="preserve">₎ = 0.277, </w:t>
      </w:r>
      <w:proofErr w:type="spellStart"/>
      <w:r>
        <w:rPr>
          <w:i w:val="0"/>
          <w:iCs w:val="0"/>
          <w:color w:val="000000" w:themeColor="text1"/>
          <w:sz w:val="24"/>
          <w:szCs w:val="24"/>
        </w:rPr>
        <w:t>NOSC₍w</w:t>
      </w:r>
      <w:proofErr w:type="spellEnd"/>
      <w:r>
        <w:rPr>
          <w:i w:val="0"/>
          <w:iCs w:val="0"/>
          <w:color w:val="000000" w:themeColor="text1"/>
          <w:sz w:val="24"/>
          <w:szCs w:val="24"/>
        </w:rPr>
        <w:t>₎ = –0.25)</w:t>
      </w:r>
      <w:r w:rsidR="003B4839">
        <w:rPr>
          <w:rFonts w:hint="eastAsia"/>
          <w:i w:val="0"/>
          <w:iCs w:val="0"/>
          <w:color w:val="000000" w:themeColor="text1"/>
          <w:sz w:val="24"/>
          <w:szCs w:val="24"/>
        </w:rPr>
        <w:t xml:space="preserve"> (Table 2)</w:t>
      </w:r>
      <w:r>
        <w:rPr>
          <w:i w:val="0"/>
          <w:iCs w:val="0"/>
          <w:color w:val="000000" w:themeColor="text1"/>
          <w:sz w:val="24"/>
          <w:szCs w:val="24"/>
        </w:rPr>
        <w:t xml:space="preserve">. These combined results indicate that </w:t>
      </w:r>
      <w:r w:rsidR="003B4839">
        <w:rPr>
          <w:i w:val="0"/>
          <w:iCs w:val="0"/>
          <w:color w:val="000000" w:themeColor="text1"/>
          <w:sz w:val="24"/>
          <w:szCs w:val="24"/>
        </w:rPr>
        <w:t xml:space="preserve">DOM </w:t>
      </w:r>
      <w:r w:rsidR="003B4839">
        <w:rPr>
          <w:rFonts w:hint="eastAsia"/>
          <w:i w:val="0"/>
          <w:iCs w:val="0"/>
          <w:color w:val="000000" w:themeColor="text1"/>
          <w:sz w:val="24"/>
          <w:szCs w:val="24"/>
        </w:rPr>
        <w:t xml:space="preserve">in the </w:t>
      </w:r>
      <w:r>
        <w:rPr>
          <w:i w:val="0"/>
          <w:iCs w:val="0"/>
          <w:color w:val="000000" w:themeColor="text1"/>
          <w:sz w:val="24"/>
          <w:szCs w:val="24"/>
        </w:rPr>
        <w:t>wet-season is largely microbially influenced and chemically reactive, contributing to elevated DBP formation despite low aromaticity</w:t>
      </w:r>
      <w:r w:rsidR="003B4839">
        <w:rPr>
          <w:rFonts w:hint="eastAsia"/>
          <w:i w:val="0"/>
          <w:iCs w:val="0"/>
          <w:color w:val="000000" w:themeColor="text1"/>
          <w:sz w:val="24"/>
          <w:szCs w:val="24"/>
        </w:rPr>
        <w:t xml:space="preserve"> (Figure 1)</w:t>
      </w:r>
      <w:r>
        <w:rPr>
          <w:i w:val="0"/>
          <w:iCs w:val="0"/>
          <w:color w:val="000000" w:themeColor="text1"/>
          <w:sz w:val="24"/>
          <w:szCs w:val="24"/>
        </w:rPr>
        <w:t>.</w:t>
      </w:r>
    </w:p>
    <w:p w14:paraId="512D06CB" w14:textId="77777777" w:rsidR="009832E1" w:rsidRDefault="00000000">
      <w:pPr>
        <w:pStyle w:val="Caption"/>
        <w:keepNext/>
        <w:rPr>
          <w:b/>
          <w:bCs/>
          <w:color w:val="000000" w:themeColor="text1"/>
          <w:sz w:val="24"/>
          <w:szCs w:val="24"/>
        </w:rPr>
      </w:pPr>
      <w:r>
        <w:rPr>
          <w:b/>
          <w:bCs/>
          <w:color w:val="000000" w:themeColor="text1"/>
          <w:sz w:val="24"/>
          <w:szCs w:val="24"/>
        </w:rPr>
        <w:t xml:space="preserve">Table </w:t>
      </w:r>
      <w:r>
        <w:rPr>
          <w:b/>
          <w:bCs/>
          <w:color w:val="000000" w:themeColor="text1"/>
          <w:sz w:val="24"/>
          <w:szCs w:val="24"/>
        </w:rPr>
        <w:fldChar w:fldCharType="begin"/>
      </w:r>
      <w:r>
        <w:rPr>
          <w:b/>
          <w:bCs/>
          <w:color w:val="000000" w:themeColor="text1"/>
          <w:sz w:val="24"/>
          <w:szCs w:val="24"/>
        </w:rPr>
        <w:instrText xml:space="preserve"> SEQ Table \* ARABIC </w:instrText>
      </w:r>
      <w:r>
        <w:rPr>
          <w:b/>
          <w:bCs/>
          <w:color w:val="000000" w:themeColor="text1"/>
          <w:sz w:val="24"/>
          <w:szCs w:val="24"/>
        </w:rPr>
        <w:fldChar w:fldCharType="separate"/>
      </w:r>
      <w:r>
        <w:rPr>
          <w:b/>
          <w:bCs/>
          <w:color w:val="000000" w:themeColor="text1"/>
          <w:sz w:val="24"/>
          <w:szCs w:val="24"/>
        </w:rPr>
        <w:t>1</w:t>
      </w:r>
      <w:r>
        <w:rPr>
          <w:b/>
          <w:bCs/>
          <w:color w:val="000000" w:themeColor="text1"/>
          <w:sz w:val="24"/>
          <w:szCs w:val="24"/>
        </w:rPr>
        <w:fldChar w:fldCharType="end"/>
      </w:r>
      <w:r>
        <w:rPr>
          <w:b/>
          <w:bCs/>
          <w:color w:val="000000" w:themeColor="text1"/>
          <w:sz w:val="24"/>
          <w:szCs w:val="24"/>
        </w:rPr>
        <w:t xml:space="preserve">: DOC concentration in the downstream of </w:t>
      </w:r>
      <w:proofErr w:type="spellStart"/>
      <w:r>
        <w:rPr>
          <w:b/>
          <w:bCs/>
          <w:color w:val="000000" w:themeColor="text1"/>
          <w:sz w:val="24"/>
          <w:szCs w:val="24"/>
        </w:rPr>
        <w:t>Kelani</w:t>
      </w:r>
      <w:proofErr w:type="spellEnd"/>
      <w:r>
        <w:rPr>
          <w:b/>
          <w:bCs/>
          <w:color w:val="000000" w:themeColor="text1"/>
          <w:sz w:val="24"/>
          <w:szCs w:val="24"/>
        </w:rPr>
        <w:t xml:space="preserve"> River</w:t>
      </w:r>
    </w:p>
    <w:tbl>
      <w:tblPr>
        <w:tblStyle w:val="TableGrid"/>
        <w:tblpPr w:leftFromText="180" w:rightFromText="180" w:vertAnchor="page" w:horzAnchor="margin" w:tblpY="10822"/>
        <w:tblW w:w="0" w:type="auto"/>
        <w:tblLook w:val="04A0" w:firstRow="1" w:lastRow="0" w:firstColumn="1" w:lastColumn="0" w:noHBand="0" w:noVBand="1"/>
      </w:tblPr>
      <w:tblGrid>
        <w:gridCol w:w="2965"/>
        <w:gridCol w:w="2199"/>
        <w:gridCol w:w="3206"/>
      </w:tblGrid>
      <w:tr w:rsidR="003B4839" w14:paraId="75109FF5" w14:textId="77777777" w:rsidTr="003B4839">
        <w:tc>
          <w:tcPr>
            <w:tcW w:w="2965" w:type="dxa"/>
          </w:tcPr>
          <w:p w14:paraId="34D2803E"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Parameter</w:t>
            </w:r>
          </w:p>
        </w:tc>
        <w:tc>
          <w:tcPr>
            <w:tcW w:w="2199" w:type="dxa"/>
          </w:tcPr>
          <w:p w14:paraId="0A8EABDC"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Range</w:t>
            </w:r>
          </w:p>
        </w:tc>
        <w:tc>
          <w:tcPr>
            <w:tcW w:w="3206" w:type="dxa"/>
          </w:tcPr>
          <w:p w14:paraId="1E63C887"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Mean ± SD</w:t>
            </w:r>
          </w:p>
        </w:tc>
      </w:tr>
      <w:tr w:rsidR="003B4839" w14:paraId="2DB8B4C6" w14:textId="77777777" w:rsidTr="003B4839">
        <w:tc>
          <w:tcPr>
            <w:tcW w:w="2965" w:type="dxa"/>
          </w:tcPr>
          <w:p w14:paraId="19D56DB2" w14:textId="77777777" w:rsidR="003B4839" w:rsidRDefault="003B4839" w:rsidP="003B4839">
            <w:pPr>
              <w:spacing w:after="0" w:line="240" w:lineRule="auto"/>
              <w:rPr>
                <w:rFonts w:asciiTheme="majorHAnsi" w:eastAsia="Times New Roman" w:hAnsiTheme="majorHAnsi" w:cstheme="majorHAnsi"/>
                <w:kern w:val="0"/>
                <w14:ligatures w14:val="none"/>
              </w:rPr>
            </w:pPr>
            <w:r>
              <w:rPr>
                <w:rFonts w:asciiTheme="majorHAnsi" w:eastAsia="Times New Roman" w:hAnsiTheme="majorHAnsi" w:cstheme="majorHAnsi"/>
                <w:b/>
                <w:bCs/>
                <w:kern w:val="0"/>
                <w14:ligatures w14:val="none"/>
              </w:rPr>
              <w:t>DOC (mg/L)</w:t>
            </w:r>
          </w:p>
        </w:tc>
        <w:tc>
          <w:tcPr>
            <w:tcW w:w="2199" w:type="dxa"/>
          </w:tcPr>
          <w:p w14:paraId="2BDE0A86"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14.00–21.01</w:t>
            </w:r>
          </w:p>
        </w:tc>
        <w:tc>
          <w:tcPr>
            <w:tcW w:w="3206" w:type="dxa"/>
          </w:tcPr>
          <w:p w14:paraId="00468DC0" w14:textId="77777777" w:rsidR="003B4839" w:rsidRDefault="003B4839" w:rsidP="003B4839">
            <w:pPr>
              <w:spacing w:after="0" w:line="240" w:lineRule="auto"/>
              <w:rPr>
                <w:rFonts w:asciiTheme="majorHAnsi" w:eastAsia="Times New Roman" w:hAnsiTheme="majorHAnsi" w:cstheme="majorHAnsi"/>
                <w:kern w:val="0"/>
                <w14:ligatures w14:val="none"/>
              </w:rPr>
            </w:pPr>
            <w:r>
              <w:rPr>
                <w:rFonts w:asciiTheme="majorHAnsi" w:eastAsia="Times New Roman" w:hAnsiTheme="majorHAnsi" w:cstheme="majorHAnsi"/>
                <w:b/>
                <w:bCs/>
                <w:kern w:val="0"/>
                <w14:ligatures w14:val="none"/>
              </w:rPr>
              <w:t>16.21 ± 1.81</w:t>
            </w:r>
          </w:p>
        </w:tc>
      </w:tr>
      <w:tr w:rsidR="003B4839" w14:paraId="2E3F2B9B" w14:textId="77777777" w:rsidTr="003B4839">
        <w:tc>
          <w:tcPr>
            <w:tcW w:w="2965" w:type="dxa"/>
          </w:tcPr>
          <w:p w14:paraId="21FBE859" w14:textId="77777777" w:rsidR="003B4839" w:rsidRDefault="003B4839" w:rsidP="003B4839">
            <w:pPr>
              <w:spacing w:after="0" w:line="240" w:lineRule="auto"/>
              <w:rPr>
                <w:rFonts w:asciiTheme="majorHAnsi" w:eastAsia="Times New Roman" w:hAnsiTheme="majorHAnsi" w:cstheme="majorHAnsi"/>
                <w:kern w:val="0"/>
                <w14:ligatures w14:val="none"/>
              </w:rPr>
            </w:pPr>
            <w:r>
              <w:rPr>
                <w:rFonts w:asciiTheme="majorHAnsi" w:eastAsia="Times New Roman" w:hAnsiTheme="majorHAnsi" w:cstheme="majorHAnsi"/>
                <w:b/>
                <w:bCs/>
                <w:kern w:val="0"/>
                <w14:ligatures w14:val="none"/>
              </w:rPr>
              <w:t>SUVA₂₅₄ (L mg⁻¹ m⁻¹)</w:t>
            </w:r>
          </w:p>
        </w:tc>
        <w:tc>
          <w:tcPr>
            <w:tcW w:w="2199" w:type="dxa"/>
          </w:tcPr>
          <w:p w14:paraId="580D6D15"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0.13–0.87</w:t>
            </w:r>
          </w:p>
        </w:tc>
        <w:tc>
          <w:tcPr>
            <w:tcW w:w="3206" w:type="dxa"/>
          </w:tcPr>
          <w:p w14:paraId="161E94CD" w14:textId="77777777" w:rsidR="003B4839" w:rsidRDefault="003B4839" w:rsidP="003B4839">
            <w:pPr>
              <w:spacing w:after="0" w:line="240" w:lineRule="auto"/>
              <w:rPr>
                <w:rFonts w:asciiTheme="majorHAnsi" w:eastAsia="Times New Roman" w:hAnsiTheme="majorHAnsi" w:cstheme="majorHAnsi"/>
                <w:kern w:val="0"/>
                <w14:ligatures w14:val="none"/>
              </w:rPr>
            </w:pPr>
            <w:r>
              <w:rPr>
                <w:rFonts w:asciiTheme="majorHAnsi" w:eastAsia="Times New Roman" w:hAnsiTheme="majorHAnsi" w:cstheme="majorHAnsi"/>
                <w:b/>
                <w:bCs/>
                <w:kern w:val="0"/>
                <w14:ligatures w14:val="none"/>
              </w:rPr>
              <w:t>0.33 ± 0.19</w:t>
            </w:r>
            <w:r>
              <w:rPr>
                <w:rFonts w:asciiTheme="majorHAnsi" w:eastAsia="Times New Roman" w:hAnsiTheme="majorHAnsi" w:cstheme="majorHAnsi"/>
                <w:kern w:val="0"/>
                <w14:ligatures w14:val="none"/>
              </w:rPr>
              <w:t xml:space="preserve"> </w:t>
            </w:r>
          </w:p>
        </w:tc>
      </w:tr>
    </w:tbl>
    <w:p w14:paraId="7D7B2F3C" w14:textId="77777777" w:rsidR="009832E1" w:rsidRDefault="009832E1">
      <w:pPr>
        <w:spacing w:line="240" w:lineRule="auto"/>
        <w:jc w:val="both"/>
        <w:rPr>
          <w:rFonts w:cstheme="minorHAnsi"/>
          <w:b/>
          <w:bCs/>
        </w:rPr>
      </w:pPr>
    </w:p>
    <w:p w14:paraId="79D01DE2" w14:textId="77777777" w:rsidR="009832E1" w:rsidRDefault="009832E1">
      <w:pPr>
        <w:spacing w:line="240" w:lineRule="auto"/>
        <w:jc w:val="both"/>
        <w:rPr>
          <w:rFonts w:cstheme="minorHAnsi"/>
          <w:b/>
          <w:bCs/>
        </w:rPr>
      </w:pPr>
    </w:p>
    <w:p w14:paraId="40176881" w14:textId="77777777" w:rsidR="009832E1" w:rsidRDefault="009832E1">
      <w:pPr>
        <w:spacing w:line="240" w:lineRule="auto"/>
        <w:jc w:val="both"/>
        <w:rPr>
          <w:rFonts w:cstheme="minorHAnsi"/>
          <w:b/>
          <w:bCs/>
        </w:rPr>
      </w:pPr>
    </w:p>
    <w:p w14:paraId="6D14BD3C" w14:textId="77777777" w:rsidR="009832E1" w:rsidRDefault="009832E1">
      <w:pPr>
        <w:spacing w:line="240" w:lineRule="auto"/>
        <w:jc w:val="both"/>
        <w:rPr>
          <w:rFonts w:cstheme="minorHAnsi"/>
          <w:b/>
          <w:bCs/>
        </w:rPr>
      </w:pPr>
    </w:p>
    <w:p w14:paraId="61B33515" w14:textId="77777777" w:rsidR="009832E1" w:rsidRDefault="00000000">
      <w:pPr>
        <w:pStyle w:val="Caption"/>
        <w:keepNext/>
        <w:rPr>
          <w:b/>
          <w:bCs/>
          <w:color w:val="000000" w:themeColor="text1"/>
          <w:sz w:val="24"/>
          <w:szCs w:val="24"/>
        </w:rPr>
      </w:pPr>
      <w:r>
        <w:rPr>
          <w:b/>
          <w:bCs/>
          <w:color w:val="000000" w:themeColor="text1"/>
          <w:sz w:val="24"/>
          <w:szCs w:val="24"/>
        </w:rPr>
        <w:lastRenderedPageBreak/>
        <w:t xml:space="preserve">Table </w:t>
      </w:r>
      <w:r>
        <w:rPr>
          <w:b/>
          <w:bCs/>
          <w:color w:val="000000" w:themeColor="text1"/>
          <w:sz w:val="24"/>
          <w:szCs w:val="24"/>
        </w:rPr>
        <w:fldChar w:fldCharType="begin"/>
      </w:r>
      <w:r>
        <w:rPr>
          <w:b/>
          <w:bCs/>
          <w:color w:val="000000" w:themeColor="text1"/>
          <w:sz w:val="24"/>
          <w:szCs w:val="24"/>
        </w:rPr>
        <w:instrText xml:space="preserve"> SEQ Table \* ARABIC </w:instrText>
      </w:r>
      <w:r>
        <w:rPr>
          <w:b/>
          <w:bCs/>
          <w:color w:val="000000" w:themeColor="text1"/>
          <w:sz w:val="24"/>
          <w:szCs w:val="24"/>
        </w:rPr>
        <w:fldChar w:fldCharType="separate"/>
      </w:r>
      <w:r>
        <w:rPr>
          <w:b/>
          <w:bCs/>
          <w:color w:val="000000" w:themeColor="text1"/>
          <w:sz w:val="24"/>
          <w:szCs w:val="24"/>
        </w:rPr>
        <w:t>2</w:t>
      </w:r>
      <w:r>
        <w:rPr>
          <w:b/>
          <w:bCs/>
          <w:color w:val="000000" w:themeColor="text1"/>
          <w:sz w:val="24"/>
          <w:szCs w:val="24"/>
        </w:rPr>
        <w:fldChar w:fldCharType="end"/>
      </w:r>
      <w:r>
        <w:rPr>
          <w:b/>
          <w:bCs/>
          <w:color w:val="000000" w:themeColor="text1"/>
          <w:sz w:val="24"/>
          <w:szCs w:val="24"/>
        </w:rPr>
        <w:t>: FT-ICR-MS DOM Composition</w:t>
      </w:r>
    </w:p>
    <w:tbl>
      <w:tblPr>
        <w:tblStyle w:val="TableGrid"/>
        <w:tblpPr w:leftFromText="180" w:rightFromText="180" w:vertAnchor="text" w:horzAnchor="margin" w:tblpY="106"/>
        <w:tblW w:w="0" w:type="auto"/>
        <w:tblLook w:val="04A0" w:firstRow="1" w:lastRow="0" w:firstColumn="1" w:lastColumn="0" w:noHBand="0" w:noVBand="1"/>
      </w:tblPr>
      <w:tblGrid>
        <w:gridCol w:w="935"/>
        <w:gridCol w:w="1089"/>
        <w:gridCol w:w="1045"/>
        <w:gridCol w:w="1198"/>
        <w:gridCol w:w="852"/>
        <w:gridCol w:w="860"/>
        <w:gridCol w:w="1095"/>
        <w:gridCol w:w="1241"/>
        <w:gridCol w:w="1035"/>
      </w:tblGrid>
      <w:tr w:rsidR="003B4839" w14:paraId="3CAA1DFA" w14:textId="77777777" w:rsidTr="003B4839">
        <w:tc>
          <w:tcPr>
            <w:tcW w:w="0" w:type="auto"/>
          </w:tcPr>
          <w:p w14:paraId="303DE524"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CHO (%)</w:t>
            </w:r>
          </w:p>
        </w:tc>
        <w:tc>
          <w:tcPr>
            <w:tcW w:w="0" w:type="auto"/>
          </w:tcPr>
          <w:p w14:paraId="518C6A86"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CHNO (%)</w:t>
            </w:r>
          </w:p>
        </w:tc>
        <w:tc>
          <w:tcPr>
            <w:tcW w:w="0" w:type="auto"/>
          </w:tcPr>
          <w:p w14:paraId="12DF655C"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CHOS (%)</w:t>
            </w:r>
          </w:p>
        </w:tc>
        <w:tc>
          <w:tcPr>
            <w:tcW w:w="0" w:type="auto"/>
          </w:tcPr>
          <w:p w14:paraId="1F402343"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CHNOS (%)</w:t>
            </w:r>
          </w:p>
        </w:tc>
        <w:tc>
          <w:tcPr>
            <w:tcW w:w="0" w:type="auto"/>
          </w:tcPr>
          <w:p w14:paraId="7A957496"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H/</w:t>
            </w:r>
            <w:proofErr w:type="spellStart"/>
            <w:r>
              <w:rPr>
                <w:rFonts w:asciiTheme="majorHAnsi" w:eastAsia="Times New Roman" w:hAnsiTheme="majorHAnsi" w:cstheme="majorHAnsi"/>
                <w:b/>
                <w:bCs/>
                <w:kern w:val="0"/>
                <w14:ligatures w14:val="none"/>
              </w:rPr>
              <w:t>C₍w</w:t>
            </w:r>
            <w:proofErr w:type="spellEnd"/>
            <w:r>
              <w:rPr>
                <w:rFonts w:asciiTheme="majorHAnsi" w:eastAsia="Times New Roman" w:hAnsiTheme="majorHAnsi" w:cstheme="majorHAnsi"/>
                <w:b/>
                <w:bCs/>
                <w:kern w:val="0"/>
                <w14:ligatures w14:val="none"/>
              </w:rPr>
              <w:t>₎</w:t>
            </w:r>
          </w:p>
        </w:tc>
        <w:tc>
          <w:tcPr>
            <w:tcW w:w="0" w:type="auto"/>
          </w:tcPr>
          <w:p w14:paraId="52A6A7FC"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O/</w:t>
            </w:r>
            <w:proofErr w:type="spellStart"/>
            <w:r>
              <w:rPr>
                <w:rFonts w:asciiTheme="majorHAnsi" w:eastAsia="Times New Roman" w:hAnsiTheme="majorHAnsi" w:cstheme="majorHAnsi"/>
                <w:b/>
                <w:bCs/>
                <w:kern w:val="0"/>
                <w14:ligatures w14:val="none"/>
              </w:rPr>
              <w:t>C₍w</w:t>
            </w:r>
            <w:proofErr w:type="spellEnd"/>
            <w:r>
              <w:rPr>
                <w:rFonts w:asciiTheme="majorHAnsi" w:eastAsia="Times New Roman" w:hAnsiTheme="majorHAnsi" w:cstheme="majorHAnsi"/>
                <w:b/>
                <w:bCs/>
                <w:kern w:val="0"/>
                <w14:ligatures w14:val="none"/>
              </w:rPr>
              <w:t>₎</w:t>
            </w:r>
          </w:p>
        </w:tc>
        <w:tc>
          <w:tcPr>
            <w:tcW w:w="0" w:type="auto"/>
          </w:tcPr>
          <w:p w14:paraId="5E87545F"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DBE/</w:t>
            </w:r>
            <w:proofErr w:type="spellStart"/>
            <w:r>
              <w:rPr>
                <w:rFonts w:asciiTheme="majorHAnsi" w:eastAsia="Times New Roman" w:hAnsiTheme="majorHAnsi" w:cstheme="majorHAnsi"/>
                <w:b/>
                <w:bCs/>
                <w:kern w:val="0"/>
                <w14:ligatures w14:val="none"/>
              </w:rPr>
              <w:t>C₍w</w:t>
            </w:r>
            <w:proofErr w:type="spellEnd"/>
            <w:r>
              <w:rPr>
                <w:rFonts w:asciiTheme="majorHAnsi" w:eastAsia="Times New Roman" w:hAnsiTheme="majorHAnsi" w:cstheme="majorHAnsi"/>
                <w:b/>
                <w:bCs/>
                <w:kern w:val="0"/>
                <w14:ligatures w14:val="none"/>
              </w:rPr>
              <w:t>₎</w:t>
            </w:r>
          </w:p>
        </w:tc>
        <w:tc>
          <w:tcPr>
            <w:tcW w:w="0" w:type="auto"/>
          </w:tcPr>
          <w:p w14:paraId="08BCBAF3"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proofErr w:type="spellStart"/>
            <w:r>
              <w:rPr>
                <w:rFonts w:asciiTheme="majorHAnsi" w:eastAsia="Times New Roman" w:hAnsiTheme="majorHAnsi" w:cstheme="majorHAnsi"/>
                <w:b/>
                <w:bCs/>
                <w:kern w:val="0"/>
                <w14:ligatures w14:val="none"/>
              </w:rPr>
              <w:t>AI_mod₍w</w:t>
            </w:r>
            <w:proofErr w:type="spellEnd"/>
            <w:r>
              <w:rPr>
                <w:rFonts w:asciiTheme="majorHAnsi" w:eastAsia="Times New Roman" w:hAnsiTheme="majorHAnsi" w:cstheme="majorHAnsi"/>
                <w:b/>
                <w:bCs/>
                <w:kern w:val="0"/>
                <w14:ligatures w14:val="none"/>
              </w:rPr>
              <w:t>₎</w:t>
            </w:r>
          </w:p>
        </w:tc>
        <w:tc>
          <w:tcPr>
            <w:tcW w:w="0" w:type="auto"/>
          </w:tcPr>
          <w:p w14:paraId="4B5CA81C" w14:textId="77777777" w:rsidR="003B4839" w:rsidRDefault="003B4839" w:rsidP="003B4839">
            <w:pPr>
              <w:spacing w:after="0" w:line="240" w:lineRule="auto"/>
              <w:jc w:val="center"/>
              <w:rPr>
                <w:rFonts w:asciiTheme="majorHAnsi" w:eastAsia="Times New Roman" w:hAnsiTheme="majorHAnsi" w:cstheme="majorHAnsi"/>
                <w:b/>
                <w:bCs/>
                <w:kern w:val="0"/>
                <w14:ligatures w14:val="none"/>
              </w:rPr>
            </w:pPr>
            <w:proofErr w:type="spellStart"/>
            <w:r>
              <w:rPr>
                <w:rFonts w:asciiTheme="majorHAnsi" w:eastAsia="Times New Roman" w:hAnsiTheme="majorHAnsi" w:cstheme="majorHAnsi"/>
                <w:b/>
                <w:bCs/>
                <w:kern w:val="0"/>
                <w14:ligatures w14:val="none"/>
              </w:rPr>
              <w:t>NOSC₍w</w:t>
            </w:r>
            <w:proofErr w:type="spellEnd"/>
            <w:r>
              <w:rPr>
                <w:rFonts w:asciiTheme="majorHAnsi" w:eastAsia="Times New Roman" w:hAnsiTheme="majorHAnsi" w:cstheme="majorHAnsi"/>
                <w:b/>
                <w:bCs/>
                <w:kern w:val="0"/>
                <w14:ligatures w14:val="none"/>
              </w:rPr>
              <w:t>₎</w:t>
            </w:r>
          </w:p>
        </w:tc>
      </w:tr>
      <w:tr w:rsidR="003B4839" w14:paraId="13D996E3" w14:textId="77777777" w:rsidTr="003B4839">
        <w:tc>
          <w:tcPr>
            <w:tcW w:w="0" w:type="auto"/>
          </w:tcPr>
          <w:p w14:paraId="654CD78F"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79.2</w:t>
            </w:r>
          </w:p>
        </w:tc>
        <w:tc>
          <w:tcPr>
            <w:tcW w:w="0" w:type="auto"/>
          </w:tcPr>
          <w:p w14:paraId="4FF67DB0"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9.8</w:t>
            </w:r>
          </w:p>
        </w:tc>
        <w:tc>
          <w:tcPr>
            <w:tcW w:w="0" w:type="auto"/>
          </w:tcPr>
          <w:p w14:paraId="3E40A2A1"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8.7</w:t>
            </w:r>
          </w:p>
        </w:tc>
        <w:tc>
          <w:tcPr>
            <w:tcW w:w="0" w:type="auto"/>
          </w:tcPr>
          <w:p w14:paraId="50ABBE39"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3.5</w:t>
            </w:r>
          </w:p>
        </w:tc>
        <w:tc>
          <w:tcPr>
            <w:tcW w:w="0" w:type="auto"/>
          </w:tcPr>
          <w:p w14:paraId="67AD7256"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1.22</w:t>
            </w:r>
          </w:p>
        </w:tc>
        <w:tc>
          <w:tcPr>
            <w:tcW w:w="0" w:type="auto"/>
          </w:tcPr>
          <w:p w14:paraId="04084116"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0.45</w:t>
            </w:r>
          </w:p>
        </w:tc>
        <w:tc>
          <w:tcPr>
            <w:tcW w:w="0" w:type="auto"/>
          </w:tcPr>
          <w:p w14:paraId="4BB5956D"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0.445</w:t>
            </w:r>
          </w:p>
        </w:tc>
        <w:tc>
          <w:tcPr>
            <w:tcW w:w="0" w:type="auto"/>
          </w:tcPr>
          <w:p w14:paraId="1032456D"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0.277</w:t>
            </w:r>
          </w:p>
        </w:tc>
        <w:tc>
          <w:tcPr>
            <w:tcW w:w="0" w:type="auto"/>
          </w:tcPr>
          <w:p w14:paraId="739E1D5E" w14:textId="77777777" w:rsidR="003B4839" w:rsidRDefault="003B4839" w:rsidP="003B4839">
            <w:pPr>
              <w:spacing w:after="0" w:line="240" w:lineRule="auto"/>
              <w:rPr>
                <w:rFonts w:asciiTheme="majorHAnsi" w:eastAsia="Times New Roman" w:hAnsiTheme="majorHAnsi" w:cstheme="majorHAnsi"/>
                <w:b/>
                <w:bCs/>
                <w:kern w:val="0"/>
                <w14:ligatures w14:val="none"/>
              </w:rPr>
            </w:pPr>
            <w:r>
              <w:rPr>
                <w:rFonts w:asciiTheme="majorHAnsi" w:eastAsia="Times New Roman" w:hAnsiTheme="majorHAnsi" w:cstheme="majorHAnsi"/>
                <w:b/>
                <w:bCs/>
                <w:kern w:val="0"/>
                <w14:ligatures w14:val="none"/>
              </w:rPr>
              <w:t>–0.25</w:t>
            </w:r>
          </w:p>
        </w:tc>
      </w:tr>
    </w:tbl>
    <w:p w14:paraId="3308535A" w14:textId="77777777" w:rsidR="009832E1" w:rsidRDefault="009832E1">
      <w:pPr>
        <w:spacing w:line="240" w:lineRule="auto"/>
        <w:jc w:val="both"/>
        <w:rPr>
          <w:rFonts w:cstheme="minorHAnsi"/>
          <w:b/>
          <w:bCs/>
        </w:rPr>
      </w:pPr>
    </w:p>
    <w:p w14:paraId="06677247" w14:textId="0F67ECE5" w:rsidR="003B4839" w:rsidRDefault="003B4839" w:rsidP="003B4839">
      <w:r>
        <w:rPr>
          <w:noProof/>
        </w:rPr>
        <w:drawing>
          <wp:anchor distT="0" distB="0" distL="114300" distR="114300" simplePos="0" relativeHeight="251662336" behindDoc="1" locked="0" layoutInCell="1" allowOverlap="1" wp14:anchorId="4E532839" wp14:editId="370F06E0">
            <wp:simplePos x="0" y="0"/>
            <wp:positionH relativeFrom="margin">
              <wp:posOffset>531495</wp:posOffset>
            </wp:positionH>
            <wp:positionV relativeFrom="paragraph">
              <wp:posOffset>61384</wp:posOffset>
            </wp:positionV>
            <wp:extent cx="4640580" cy="3611880"/>
            <wp:effectExtent l="0" t="0" r="7620" b="7620"/>
            <wp:wrapThrough wrapText="bothSides">
              <wp:wrapPolygon edited="0">
                <wp:start x="0" y="0"/>
                <wp:lineTo x="0" y="21030"/>
                <wp:lineTo x="21018" y="21030"/>
                <wp:lineTo x="21018" y="0"/>
                <wp:lineTo x="0" y="0"/>
              </wp:wrapPolygon>
            </wp:wrapThrough>
            <wp:docPr id="3975335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40580" cy="3611880"/>
                    </a:xfrm>
                    <a:prstGeom prst="rect">
                      <a:avLst/>
                    </a:prstGeom>
                  </pic:spPr>
                </pic:pic>
              </a:graphicData>
            </a:graphic>
          </wp:anchor>
        </w:drawing>
      </w:r>
    </w:p>
    <w:p w14:paraId="4997B461" w14:textId="1B546308" w:rsidR="003B4839" w:rsidRDefault="003B4839" w:rsidP="003B4839"/>
    <w:p w14:paraId="5BEFDBFB" w14:textId="77777777" w:rsidR="003B4839" w:rsidRDefault="003B4839" w:rsidP="003B4839"/>
    <w:p w14:paraId="1BD717DC" w14:textId="77777777" w:rsidR="003B4839" w:rsidRDefault="003B4839" w:rsidP="003B4839"/>
    <w:p w14:paraId="25BB0713" w14:textId="77777777" w:rsidR="003B4839" w:rsidRDefault="003B4839" w:rsidP="003B4839"/>
    <w:p w14:paraId="130B2791" w14:textId="77777777" w:rsidR="003B4839" w:rsidRDefault="003B4839" w:rsidP="003B4839"/>
    <w:p w14:paraId="2DF999FA" w14:textId="77777777" w:rsidR="003B4839" w:rsidRDefault="003B4839" w:rsidP="003B4839"/>
    <w:p w14:paraId="5B94DD6A" w14:textId="77777777" w:rsidR="003B4839" w:rsidRDefault="003B4839" w:rsidP="003B4839"/>
    <w:p w14:paraId="78FF244A" w14:textId="77777777" w:rsidR="003B4839" w:rsidRDefault="003B4839" w:rsidP="003B4839"/>
    <w:p w14:paraId="6F202397" w14:textId="77777777" w:rsidR="003B4839" w:rsidRDefault="003B4839" w:rsidP="003B4839"/>
    <w:p w14:paraId="3F0249AC" w14:textId="77777777" w:rsidR="003B4839" w:rsidRDefault="003B4839" w:rsidP="003B4839"/>
    <w:p w14:paraId="55D12207" w14:textId="77777777" w:rsidR="003B4839" w:rsidRDefault="003B4839" w:rsidP="003B4839"/>
    <w:p w14:paraId="53133884" w14:textId="77777777" w:rsidR="003B4839" w:rsidRDefault="003B4839" w:rsidP="003B4839">
      <w:r>
        <w:rPr>
          <w:rFonts w:cstheme="minorHAnsi"/>
          <w:noProof/>
        </w:rPr>
        <mc:AlternateContent>
          <mc:Choice Requires="wps">
            <w:drawing>
              <wp:anchor distT="0" distB="0" distL="114300" distR="114300" simplePos="0" relativeHeight="251663360" behindDoc="0" locked="0" layoutInCell="1" allowOverlap="1" wp14:anchorId="5C23F66D" wp14:editId="513CD9C5">
                <wp:simplePos x="0" y="0"/>
                <wp:positionH relativeFrom="margin">
                  <wp:posOffset>29633</wp:posOffset>
                </wp:positionH>
                <wp:positionV relativeFrom="paragraph">
                  <wp:posOffset>60113</wp:posOffset>
                </wp:positionV>
                <wp:extent cx="5742517" cy="635"/>
                <wp:effectExtent l="0" t="0" r="0" b="0"/>
                <wp:wrapNone/>
                <wp:docPr id="453540101" name="Text Box 1"/>
                <wp:cNvGraphicFramePr/>
                <a:graphic xmlns:a="http://schemas.openxmlformats.org/drawingml/2006/main">
                  <a:graphicData uri="http://schemas.microsoft.com/office/word/2010/wordprocessingShape">
                    <wps:wsp>
                      <wps:cNvSpPr txBox="1"/>
                      <wps:spPr>
                        <a:xfrm>
                          <a:off x="0" y="0"/>
                          <a:ext cx="5742517" cy="635"/>
                        </a:xfrm>
                        <a:prstGeom prst="rect">
                          <a:avLst/>
                        </a:prstGeom>
                        <a:solidFill>
                          <a:prstClr val="white"/>
                        </a:solidFill>
                        <a:ln>
                          <a:noFill/>
                        </a:ln>
                      </wps:spPr>
                      <wps:txbx>
                        <w:txbxContent>
                          <w:p w14:paraId="58A8105B" w14:textId="3AD386A2" w:rsidR="003B4839" w:rsidRDefault="003B4839" w:rsidP="00316657">
                            <w:pPr>
                              <w:pStyle w:val="Caption"/>
                              <w:jc w:val="center"/>
                              <w:rPr>
                                <w:color w:val="000000" w:themeColor="text1"/>
                                <w:sz w:val="24"/>
                                <w:szCs w:val="24"/>
                                <w14:ligatures w14:val="none"/>
                              </w:rPr>
                            </w:pPr>
                            <w:r>
                              <w:rPr>
                                <w:b/>
                                <w:bCs/>
                                <w:color w:val="000000" w:themeColor="text1"/>
                                <w:sz w:val="24"/>
                                <w:szCs w:val="24"/>
                              </w:rPr>
                              <w:t xml:space="preserve">Figure </w:t>
                            </w:r>
                            <w:r>
                              <w:rPr>
                                <w:b/>
                                <w:bCs/>
                                <w:color w:val="000000" w:themeColor="text1"/>
                                <w:sz w:val="24"/>
                                <w:szCs w:val="24"/>
                              </w:rPr>
                              <w:fldChar w:fldCharType="begin"/>
                            </w:r>
                            <w:r>
                              <w:rPr>
                                <w:b/>
                                <w:bCs/>
                                <w:color w:val="000000" w:themeColor="text1"/>
                                <w:sz w:val="24"/>
                                <w:szCs w:val="24"/>
                              </w:rPr>
                              <w:instrText xml:space="preserve"> SEQ Figure \* ARABIC </w:instrText>
                            </w:r>
                            <w:r>
                              <w:rPr>
                                <w:b/>
                                <w:bCs/>
                                <w:color w:val="000000" w:themeColor="text1"/>
                                <w:sz w:val="24"/>
                                <w:szCs w:val="24"/>
                              </w:rPr>
                              <w:fldChar w:fldCharType="separate"/>
                            </w:r>
                            <w:r>
                              <w:rPr>
                                <w:b/>
                                <w:bCs/>
                                <w:color w:val="000000" w:themeColor="text1"/>
                                <w:sz w:val="24"/>
                                <w:szCs w:val="24"/>
                              </w:rPr>
                              <w:t>1</w:t>
                            </w:r>
                            <w:r>
                              <w:rPr>
                                <w:b/>
                                <w:bCs/>
                                <w:color w:val="000000" w:themeColor="text1"/>
                                <w:sz w:val="24"/>
                                <w:szCs w:val="24"/>
                              </w:rPr>
                              <w:fldChar w:fldCharType="end"/>
                            </w:r>
                            <w:r>
                              <w:rPr>
                                <w:b/>
                                <w:bCs/>
                                <w:color w:val="000000" w:themeColor="text1"/>
                                <w:sz w:val="24"/>
                                <w:szCs w:val="24"/>
                              </w:rPr>
                              <w:t>:</w:t>
                            </w:r>
                            <w:r>
                              <w:rPr>
                                <w:color w:val="000000" w:themeColor="text1"/>
                                <w:sz w:val="24"/>
                                <w:szCs w:val="24"/>
                              </w:rPr>
                              <w:t xml:space="preserve"> Correlation heatmap of DBP</w:t>
                            </w:r>
                            <w:r>
                              <w:rPr>
                                <w:rFonts w:hint="eastAsia"/>
                                <w:color w:val="000000" w:themeColor="text1"/>
                                <w:sz w:val="24"/>
                                <w:szCs w:val="24"/>
                              </w:rPr>
                              <w:t>FP</w:t>
                            </w:r>
                            <w:r>
                              <w:rPr>
                                <w:color w:val="000000" w:themeColor="text1"/>
                                <w:sz w:val="24"/>
                                <w:szCs w:val="24"/>
                              </w:rPr>
                              <w:t xml:space="preserve"> and DOM </w:t>
                            </w:r>
                            <w:r>
                              <w:rPr>
                                <w:rFonts w:hint="eastAsia"/>
                                <w:color w:val="000000" w:themeColor="text1"/>
                                <w:sz w:val="24"/>
                                <w:szCs w:val="24"/>
                              </w:rPr>
                              <w:t>in the</w:t>
                            </w:r>
                            <w:r>
                              <w:rPr>
                                <w:color w:val="000000" w:themeColor="text1"/>
                                <w:sz w:val="24"/>
                                <w:szCs w:val="24"/>
                              </w:rPr>
                              <w:t xml:space="preserve"> downstream </w:t>
                            </w:r>
                            <w:r>
                              <w:rPr>
                                <w:rFonts w:hint="eastAsia"/>
                                <w:color w:val="000000" w:themeColor="text1"/>
                                <w:sz w:val="24"/>
                                <w:szCs w:val="24"/>
                              </w:rPr>
                              <w:t xml:space="preserve">of </w:t>
                            </w:r>
                            <w:proofErr w:type="spellStart"/>
                            <w:r>
                              <w:rPr>
                                <w:color w:val="000000" w:themeColor="text1"/>
                                <w:sz w:val="24"/>
                                <w:szCs w:val="24"/>
                              </w:rPr>
                              <w:t>Kelani</w:t>
                            </w:r>
                            <w:proofErr w:type="spellEnd"/>
                            <w:r>
                              <w:rPr>
                                <w:color w:val="000000" w:themeColor="text1"/>
                                <w:sz w:val="24"/>
                                <w:szCs w:val="24"/>
                              </w:rPr>
                              <w:t xml:space="preserve"> River.</w:t>
                            </w:r>
                          </w:p>
                        </w:txbxContent>
                      </wps:txbx>
                      <wps:bodyPr rot="0" spcFirstLastPara="0" vertOverflow="overflow" horzOverflow="overflow" vert="horz" wrap="square" lIns="0" tIns="0" rIns="0" bIns="0" numCol="1" spcCol="0" rtlCol="0" fromWordArt="0" anchor="t" anchorCtr="0" forceAA="0" compatLnSpc="1">
                        <a:spAutoFit/>
                      </wps:bodyPr>
                    </wps:wsp>
                  </a:graphicData>
                </a:graphic>
                <wp14:sizeRelH relativeFrom="margin">
                  <wp14:pctWidth>0</wp14:pctWidth>
                </wp14:sizeRelH>
              </wp:anchor>
            </w:drawing>
          </mc:Choice>
          <mc:Fallback>
            <w:pict>
              <v:shapetype w14:anchorId="5C23F66D" id="_x0000_t202" coordsize="21600,21600" o:spt="202" path="m,l,21600r21600,l21600,xe">
                <v:stroke joinstyle="miter"/>
                <v:path gradientshapeok="t" o:connecttype="rect"/>
              </v:shapetype>
              <v:shape id="Text Box 1" o:spid="_x0000_s1026" type="#_x0000_t202" style="position:absolute;margin-left:2.35pt;margin-top:4.75pt;width:452.15pt;height:.0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" stroked="f">
                <v:textbox style="mso-fit-shape-to-text:t" inset="0,0,0,0">
                  <w:txbxContent>
                    <w:p w14:paraId="58A8105B" w14:textId="3AD386A2" w:rsidR="003B4839" w:rsidRDefault="003B4839" w:rsidP="00316657">
                      <w:pPr>
                        <w:pStyle w:val="Caption"/>
                        <w:jc w:val="center"/>
                        <w:rPr>
                          <w:color w:val="000000" w:themeColor="text1"/>
                          <w:sz w:val="24"/>
                          <w:szCs w:val="24"/>
                          <w14:ligatures w14:val="none"/>
                        </w:rPr>
                      </w:pPr>
                      <w:r>
                        <w:rPr>
                          <w:b/>
                          <w:bCs/>
                          <w:color w:val="000000" w:themeColor="text1"/>
                          <w:sz w:val="24"/>
                          <w:szCs w:val="24"/>
                        </w:rPr>
                        <w:t xml:space="preserve">Figure </w:t>
                      </w:r>
                      <w:r>
                        <w:rPr>
                          <w:b/>
                          <w:bCs/>
                          <w:color w:val="000000" w:themeColor="text1"/>
                          <w:sz w:val="24"/>
                          <w:szCs w:val="24"/>
                        </w:rPr>
                        <w:fldChar w:fldCharType="begin"/>
                      </w:r>
                      <w:r>
                        <w:rPr>
                          <w:b/>
                          <w:bCs/>
                          <w:color w:val="000000" w:themeColor="text1"/>
                          <w:sz w:val="24"/>
                          <w:szCs w:val="24"/>
                        </w:rPr>
                        <w:instrText xml:space="preserve"> SEQ Figure \* ARABIC </w:instrText>
                      </w:r>
                      <w:r>
                        <w:rPr>
                          <w:b/>
                          <w:bCs/>
                          <w:color w:val="000000" w:themeColor="text1"/>
                          <w:sz w:val="24"/>
                          <w:szCs w:val="24"/>
                        </w:rPr>
                        <w:fldChar w:fldCharType="separate"/>
                      </w:r>
                      <w:r>
                        <w:rPr>
                          <w:b/>
                          <w:bCs/>
                          <w:color w:val="000000" w:themeColor="text1"/>
                          <w:sz w:val="24"/>
                          <w:szCs w:val="24"/>
                        </w:rPr>
                        <w:t>1</w:t>
                      </w:r>
                      <w:r>
                        <w:rPr>
                          <w:b/>
                          <w:bCs/>
                          <w:color w:val="000000" w:themeColor="text1"/>
                          <w:sz w:val="24"/>
                          <w:szCs w:val="24"/>
                        </w:rPr>
                        <w:fldChar w:fldCharType="end"/>
                      </w:r>
                      <w:r>
                        <w:rPr>
                          <w:b/>
                          <w:bCs/>
                          <w:color w:val="000000" w:themeColor="text1"/>
                          <w:sz w:val="24"/>
                          <w:szCs w:val="24"/>
                        </w:rPr>
                        <w:t>:</w:t>
                      </w:r>
                      <w:r>
                        <w:rPr>
                          <w:color w:val="000000" w:themeColor="text1"/>
                          <w:sz w:val="24"/>
                          <w:szCs w:val="24"/>
                        </w:rPr>
                        <w:t xml:space="preserve"> Correlation heatmap of DBP</w:t>
                      </w:r>
                      <w:r>
                        <w:rPr>
                          <w:rFonts w:hint="eastAsia"/>
                          <w:color w:val="000000" w:themeColor="text1"/>
                          <w:sz w:val="24"/>
                          <w:szCs w:val="24"/>
                        </w:rPr>
                        <w:t>FP</w:t>
                      </w:r>
                      <w:r>
                        <w:rPr>
                          <w:color w:val="000000" w:themeColor="text1"/>
                          <w:sz w:val="24"/>
                          <w:szCs w:val="24"/>
                        </w:rPr>
                        <w:t xml:space="preserve"> and DOM </w:t>
                      </w:r>
                      <w:r>
                        <w:rPr>
                          <w:rFonts w:hint="eastAsia"/>
                          <w:color w:val="000000" w:themeColor="text1"/>
                          <w:sz w:val="24"/>
                          <w:szCs w:val="24"/>
                        </w:rPr>
                        <w:t>in the</w:t>
                      </w:r>
                      <w:r>
                        <w:rPr>
                          <w:color w:val="000000" w:themeColor="text1"/>
                          <w:sz w:val="24"/>
                          <w:szCs w:val="24"/>
                        </w:rPr>
                        <w:t xml:space="preserve"> downstream </w:t>
                      </w:r>
                      <w:r>
                        <w:rPr>
                          <w:rFonts w:hint="eastAsia"/>
                          <w:color w:val="000000" w:themeColor="text1"/>
                          <w:sz w:val="24"/>
                          <w:szCs w:val="24"/>
                        </w:rPr>
                        <w:t xml:space="preserve">of </w:t>
                      </w:r>
                      <w:proofErr w:type="spellStart"/>
                      <w:r>
                        <w:rPr>
                          <w:color w:val="000000" w:themeColor="text1"/>
                          <w:sz w:val="24"/>
                          <w:szCs w:val="24"/>
                        </w:rPr>
                        <w:t>Kelani</w:t>
                      </w:r>
                      <w:proofErr w:type="spellEnd"/>
                      <w:r>
                        <w:rPr>
                          <w:color w:val="000000" w:themeColor="text1"/>
                          <w:sz w:val="24"/>
                          <w:szCs w:val="24"/>
                        </w:rPr>
                        <w:t xml:space="preserve"> River.</w:t>
                      </w:r>
                    </w:p>
                  </w:txbxContent>
                </v:textbox>
                <w10:wrap anchorx="margin"/>
              </v:shape>
            </w:pict>
          </mc:Fallback>
        </mc:AlternateContent>
      </w:r>
    </w:p>
    <w:p w14:paraId="7EB7054C" w14:textId="77777777" w:rsidR="003B4839" w:rsidRDefault="003B4839" w:rsidP="003B4839">
      <w:pPr>
        <w:rPr>
          <w:b/>
          <w:bCs/>
        </w:rPr>
      </w:pPr>
    </w:p>
    <w:p w14:paraId="3991A086" w14:textId="49841BDE" w:rsidR="009832E1" w:rsidRDefault="00000000">
      <w:pPr>
        <w:spacing w:line="240" w:lineRule="auto"/>
        <w:jc w:val="both"/>
        <w:rPr>
          <w:rFonts w:cstheme="minorHAnsi"/>
          <w:b/>
          <w:bCs/>
        </w:rPr>
      </w:pPr>
      <w:r>
        <w:rPr>
          <w:rFonts w:cstheme="minorHAnsi"/>
          <w:b/>
          <w:bCs/>
        </w:rPr>
        <w:t>Conclusion</w:t>
      </w:r>
      <w:r w:rsidR="003B4839">
        <w:rPr>
          <w:rFonts w:cstheme="minorHAnsi" w:hint="eastAsia"/>
          <w:b/>
          <w:bCs/>
        </w:rPr>
        <w:t>s</w:t>
      </w:r>
    </w:p>
    <w:p w14:paraId="22C7FAE4" w14:textId="4FC19ACB" w:rsidR="009832E1" w:rsidRDefault="003B4839">
      <w:pPr>
        <w:jc w:val="both"/>
      </w:pPr>
      <w:r>
        <w:rPr>
          <w:rFonts w:hint="eastAsia"/>
        </w:rPr>
        <w:t xml:space="preserve">The </w:t>
      </w:r>
      <w:r>
        <w:t xml:space="preserve">DOM </w:t>
      </w:r>
      <w:r>
        <w:rPr>
          <w:rFonts w:hint="eastAsia"/>
        </w:rPr>
        <w:t>of</w:t>
      </w:r>
      <w:r>
        <w:t xml:space="preserve"> the downstream </w:t>
      </w:r>
      <w:proofErr w:type="spellStart"/>
      <w:r>
        <w:t>Kelani</w:t>
      </w:r>
      <w:proofErr w:type="spellEnd"/>
      <w:r>
        <w:t xml:space="preserve"> River</w:t>
      </w:r>
      <w:r w:rsidRPr="003B4839">
        <w:t xml:space="preserve"> </w:t>
      </w:r>
      <w:r>
        <w:rPr>
          <w:rFonts w:hint="eastAsia"/>
        </w:rPr>
        <w:t>in the w</w:t>
      </w:r>
      <w:r>
        <w:t xml:space="preserve">et-season is dominated by microbially derived, low-aromatic, unsaturated organic matter that exhibits strong reactivity toward chlorine, as evidenced by high THMFP values. Moderate DOC levels (16.21 ± 1.81 mg/L) and low SUVA₂₅₄ contrast sharply with the molecular signatures revealed by </w:t>
      </w:r>
      <w:r>
        <w:rPr>
          <w:rFonts w:hint="eastAsia"/>
        </w:rPr>
        <w:t xml:space="preserve">the </w:t>
      </w:r>
      <w:r>
        <w:t>FT-ICR-MS, which show abundant unsaturated CHO and CHNO compounds with reduced carbon (NOSC</w:t>
      </w:r>
      <w:r>
        <w:rPr>
          <w:rFonts w:hint="eastAsia"/>
        </w:rPr>
        <w:t>≈</w:t>
      </w:r>
      <w:r>
        <w:t>−0.25). Together, these results demonstrate that DOM composition rather than concentration or aromaticity is the primary determinant of DBP precursor reactivity. The findings emphasize the need for improved watershed controls and optimized treatment operations during monsoon periods to reduce DBP risks in downstream drinking-water intakes.</w:t>
      </w:r>
    </w:p>
    <w:p w14:paraId="4031A394" w14:textId="77777777" w:rsidR="007461B4" w:rsidRDefault="007461B4">
      <w:pPr>
        <w:rPr>
          <w:b/>
          <w:bCs/>
        </w:rPr>
      </w:pPr>
    </w:p>
    <w:p w14:paraId="0E0EEBC5" w14:textId="77777777" w:rsidR="009832E1" w:rsidRDefault="00000000">
      <w:pPr>
        <w:rPr>
          <w:b/>
          <w:bCs/>
        </w:rPr>
      </w:pPr>
      <w:r>
        <w:rPr>
          <w:b/>
          <w:bCs/>
        </w:rPr>
        <w:lastRenderedPageBreak/>
        <w:t>References:</w:t>
      </w:r>
    </w:p>
    <w:sdt>
      <w:sdtPr>
        <w:rPr>
          <w:rFonts w:ascii="Calibri" w:hAnsi="Calibri" w:cs="Calibri"/>
          <w:color w:val="000000"/>
        </w:rPr>
        <w:tag w:val="MENDELEY_BIBLIOGRAPHY"/>
        <w:id w:val="-488942526"/>
        <w:placeholder>
          <w:docPart w:val="DefaultPlaceholder_-1854013440"/>
        </w:placeholder>
      </w:sdtPr>
      <w:sdtContent>
        <w:p w14:paraId="34F2A0A2" w14:textId="77777777" w:rsidR="002876F3" w:rsidRPr="002876F3" w:rsidRDefault="002876F3">
          <w:pPr>
            <w:autoSpaceDE w:val="0"/>
            <w:autoSpaceDN w:val="0"/>
            <w:ind w:hanging="480"/>
            <w:divId w:val="1247694786"/>
            <w:rPr>
              <w:rFonts w:ascii="Calibri" w:eastAsia="Times New Roman" w:hAnsi="Calibri" w:cs="Calibri"/>
              <w:color w:val="000000"/>
              <w:kern w:val="0"/>
              <w:lang w:val="it-IT"/>
              <w14:ligatures w14:val="none"/>
            </w:rPr>
          </w:pPr>
          <w:r w:rsidRPr="002876F3">
            <w:rPr>
              <w:rFonts w:ascii="Calibri" w:eastAsia="Times New Roman" w:hAnsi="Calibri" w:cs="Calibri"/>
              <w:color w:val="000000"/>
            </w:rPr>
            <w:t xml:space="preserve">He, J., Wu, X., Zhi, G., Yang, Y., Wu, L., Zhang, Y., Zheng, B., Qadeer, A., Zheng, J., Deng, W., Zhou, H., &amp; Shao, Z. (2022). Fluorescence characteristics of DOM and its influence on water quality of rivers and lakes in the </w:t>
          </w:r>
          <w:proofErr w:type="spellStart"/>
          <w:r w:rsidRPr="002876F3">
            <w:rPr>
              <w:rFonts w:ascii="Calibri" w:eastAsia="Times New Roman" w:hAnsi="Calibri" w:cs="Calibri"/>
              <w:color w:val="000000"/>
            </w:rPr>
            <w:t>Dianchi</w:t>
          </w:r>
          <w:proofErr w:type="spellEnd"/>
          <w:r w:rsidRPr="002876F3">
            <w:rPr>
              <w:rFonts w:ascii="Calibri" w:eastAsia="Times New Roman" w:hAnsi="Calibri" w:cs="Calibri"/>
              <w:color w:val="000000"/>
            </w:rPr>
            <w:t xml:space="preserve"> Lake basin. </w:t>
          </w:r>
          <w:r w:rsidRPr="002876F3">
            <w:rPr>
              <w:rFonts w:ascii="Calibri" w:eastAsia="Times New Roman" w:hAnsi="Calibri" w:cs="Calibri"/>
              <w:i/>
              <w:iCs/>
              <w:color w:val="000000"/>
              <w:lang w:val="it-IT"/>
            </w:rPr>
            <w:t>Ecological Indicators</w:t>
          </w:r>
          <w:r w:rsidRPr="002876F3">
            <w:rPr>
              <w:rFonts w:ascii="Calibri" w:eastAsia="Times New Roman" w:hAnsi="Calibri" w:cs="Calibri"/>
              <w:color w:val="000000"/>
              <w:lang w:val="it-IT"/>
            </w:rPr>
            <w:t xml:space="preserve">, </w:t>
          </w:r>
          <w:r w:rsidRPr="002876F3">
            <w:rPr>
              <w:rFonts w:ascii="Calibri" w:eastAsia="Times New Roman" w:hAnsi="Calibri" w:cs="Calibri"/>
              <w:i/>
              <w:iCs/>
              <w:color w:val="000000"/>
              <w:lang w:val="it-IT"/>
            </w:rPr>
            <w:t>142</w:t>
          </w:r>
          <w:r w:rsidRPr="002876F3">
            <w:rPr>
              <w:rFonts w:ascii="Calibri" w:eastAsia="Times New Roman" w:hAnsi="Calibri" w:cs="Calibri"/>
              <w:color w:val="000000"/>
              <w:lang w:val="it-IT"/>
            </w:rPr>
            <w:t>. https://doi.org/10.1016/j.ecolind.2022.109088</w:t>
          </w:r>
        </w:p>
        <w:p w14:paraId="5B092C89" w14:textId="77777777" w:rsidR="002876F3" w:rsidRPr="002876F3" w:rsidRDefault="002876F3">
          <w:pPr>
            <w:autoSpaceDE w:val="0"/>
            <w:autoSpaceDN w:val="0"/>
            <w:ind w:hanging="480"/>
            <w:divId w:val="356346386"/>
            <w:rPr>
              <w:rFonts w:ascii="Calibri" w:eastAsia="Times New Roman" w:hAnsi="Calibri" w:cs="Calibri"/>
              <w:color w:val="000000"/>
            </w:rPr>
          </w:pPr>
          <w:r w:rsidRPr="002876F3">
            <w:rPr>
              <w:rFonts w:ascii="Calibri" w:eastAsia="Times New Roman" w:hAnsi="Calibri" w:cs="Calibri"/>
              <w:color w:val="000000"/>
              <w:lang w:val="it-IT"/>
            </w:rPr>
            <w:t xml:space="preserve">Peng, N., Wang, K., Tu, N., Liu, Y., &amp; Li, Z. (2020). </w:t>
          </w:r>
          <w:r w:rsidRPr="002876F3">
            <w:rPr>
              <w:rFonts w:ascii="Calibri" w:eastAsia="Times New Roman" w:hAnsi="Calibri" w:cs="Calibri"/>
              <w:color w:val="000000"/>
            </w:rPr>
            <w:t xml:space="preserve">Fluorescence regional integration combined with parallel factor analysis to quantify </w:t>
          </w:r>
          <w:proofErr w:type="spellStart"/>
          <w:r w:rsidRPr="002876F3">
            <w:rPr>
              <w:rFonts w:ascii="Calibri" w:eastAsia="Times New Roman" w:hAnsi="Calibri" w:cs="Calibri"/>
              <w:color w:val="000000"/>
            </w:rPr>
            <w:t>fluorescencent</w:t>
          </w:r>
          <w:proofErr w:type="spellEnd"/>
          <w:r w:rsidRPr="002876F3">
            <w:rPr>
              <w:rFonts w:ascii="Calibri" w:eastAsia="Times New Roman" w:hAnsi="Calibri" w:cs="Calibri"/>
              <w:color w:val="000000"/>
            </w:rPr>
            <w:t xml:space="preserve"> spectra for dissolved organic matter released from manure </w:t>
          </w:r>
          <w:proofErr w:type="spellStart"/>
          <w:r w:rsidRPr="002876F3">
            <w:rPr>
              <w:rFonts w:ascii="Calibri" w:eastAsia="Times New Roman" w:hAnsi="Calibri" w:cs="Calibri"/>
              <w:color w:val="000000"/>
            </w:rPr>
            <w:t>biochars</w:t>
          </w:r>
          <w:proofErr w:type="spellEnd"/>
          <w:r w:rsidRPr="002876F3">
            <w:rPr>
              <w:rFonts w:ascii="Calibri" w:eastAsia="Times New Roman" w:hAnsi="Calibri" w:cs="Calibri"/>
              <w:color w:val="000000"/>
            </w:rPr>
            <w:t xml:space="preserve">. </w:t>
          </w:r>
          <w:r w:rsidRPr="002876F3">
            <w:rPr>
              <w:rFonts w:ascii="Calibri" w:eastAsia="Times New Roman" w:hAnsi="Calibri" w:cs="Calibri"/>
              <w:i/>
              <w:iCs/>
              <w:color w:val="000000"/>
            </w:rPr>
            <w:t>RSC Advances</w:t>
          </w:r>
          <w:r w:rsidRPr="002876F3">
            <w:rPr>
              <w:rFonts w:ascii="Calibri" w:eastAsia="Times New Roman" w:hAnsi="Calibri" w:cs="Calibri"/>
              <w:color w:val="000000"/>
            </w:rPr>
            <w:t xml:space="preserve">, </w:t>
          </w:r>
          <w:r w:rsidRPr="002876F3">
            <w:rPr>
              <w:rFonts w:ascii="Calibri" w:eastAsia="Times New Roman" w:hAnsi="Calibri" w:cs="Calibri"/>
              <w:i/>
              <w:iCs/>
              <w:color w:val="000000"/>
            </w:rPr>
            <w:t>10</w:t>
          </w:r>
          <w:r w:rsidRPr="002876F3">
            <w:rPr>
              <w:rFonts w:ascii="Calibri" w:eastAsia="Times New Roman" w:hAnsi="Calibri" w:cs="Calibri"/>
              <w:color w:val="000000"/>
            </w:rPr>
            <w:t>(52), 31502–31510. https://doi.org/10.1039/d0ra02706e</w:t>
          </w:r>
        </w:p>
        <w:p w14:paraId="09FE5AC4" w14:textId="77777777" w:rsidR="002876F3" w:rsidRPr="002876F3" w:rsidRDefault="002876F3">
          <w:pPr>
            <w:autoSpaceDE w:val="0"/>
            <w:autoSpaceDN w:val="0"/>
            <w:ind w:hanging="480"/>
            <w:divId w:val="651106214"/>
            <w:rPr>
              <w:rFonts w:ascii="Calibri" w:eastAsia="Times New Roman" w:hAnsi="Calibri" w:cs="Calibri"/>
              <w:color w:val="000000"/>
            </w:rPr>
          </w:pPr>
          <w:proofErr w:type="spellStart"/>
          <w:r w:rsidRPr="002876F3">
            <w:rPr>
              <w:rFonts w:ascii="Calibri" w:eastAsia="Times New Roman" w:hAnsi="Calibri" w:cs="Calibri"/>
              <w:color w:val="000000"/>
            </w:rPr>
            <w:t>Surasinghe</w:t>
          </w:r>
          <w:proofErr w:type="spellEnd"/>
          <w:r w:rsidRPr="002876F3">
            <w:rPr>
              <w:rFonts w:ascii="Calibri" w:eastAsia="Times New Roman" w:hAnsi="Calibri" w:cs="Calibri"/>
              <w:color w:val="000000"/>
            </w:rPr>
            <w:t xml:space="preserve">, T., </w:t>
          </w:r>
          <w:proofErr w:type="spellStart"/>
          <w:r w:rsidRPr="002876F3">
            <w:rPr>
              <w:rFonts w:ascii="Calibri" w:eastAsia="Times New Roman" w:hAnsi="Calibri" w:cs="Calibri"/>
              <w:color w:val="000000"/>
            </w:rPr>
            <w:t>Kariyawasam</w:t>
          </w:r>
          <w:proofErr w:type="spellEnd"/>
          <w:r w:rsidRPr="002876F3">
            <w:rPr>
              <w:rFonts w:ascii="Calibri" w:eastAsia="Times New Roman" w:hAnsi="Calibri" w:cs="Calibri"/>
              <w:color w:val="000000"/>
            </w:rPr>
            <w:t xml:space="preserve">, R., </w:t>
          </w:r>
          <w:proofErr w:type="spellStart"/>
          <w:r w:rsidRPr="002876F3">
            <w:rPr>
              <w:rFonts w:ascii="Calibri" w:eastAsia="Times New Roman" w:hAnsi="Calibri" w:cs="Calibri"/>
              <w:color w:val="000000"/>
            </w:rPr>
            <w:t>Sudasinghe</w:t>
          </w:r>
          <w:proofErr w:type="spellEnd"/>
          <w:r w:rsidRPr="002876F3">
            <w:rPr>
              <w:rFonts w:ascii="Calibri" w:eastAsia="Times New Roman" w:hAnsi="Calibri" w:cs="Calibri"/>
              <w:color w:val="000000"/>
            </w:rPr>
            <w:t xml:space="preserve">, H., &amp; </w:t>
          </w:r>
          <w:proofErr w:type="spellStart"/>
          <w:r w:rsidRPr="002876F3">
            <w:rPr>
              <w:rFonts w:ascii="Calibri" w:eastAsia="Times New Roman" w:hAnsi="Calibri" w:cs="Calibri"/>
              <w:color w:val="000000"/>
            </w:rPr>
            <w:t>Karunarathna</w:t>
          </w:r>
          <w:proofErr w:type="spellEnd"/>
          <w:r w:rsidRPr="002876F3">
            <w:rPr>
              <w:rFonts w:ascii="Calibri" w:eastAsia="Times New Roman" w:hAnsi="Calibri" w:cs="Calibri"/>
              <w:color w:val="000000"/>
            </w:rPr>
            <w:t xml:space="preserve">, S. (2020). Challenges in biodiversity conservation in a highly modified tropical river basin in Sri Lanka. </w:t>
          </w:r>
          <w:r w:rsidRPr="002876F3">
            <w:rPr>
              <w:rFonts w:ascii="Calibri" w:eastAsia="Times New Roman" w:hAnsi="Calibri" w:cs="Calibri"/>
              <w:i/>
              <w:iCs/>
              <w:color w:val="000000"/>
            </w:rPr>
            <w:t>Water (Switzerland)</w:t>
          </w:r>
          <w:r w:rsidRPr="002876F3">
            <w:rPr>
              <w:rFonts w:ascii="Calibri" w:eastAsia="Times New Roman" w:hAnsi="Calibri" w:cs="Calibri"/>
              <w:color w:val="000000"/>
            </w:rPr>
            <w:t xml:space="preserve">, </w:t>
          </w:r>
          <w:r w:rsidRPr="002876F3">
            <w:rPr>
              <w:rFonts w:ascii="Calibri" w:eastAsia="Times New Roman" w:hAnsi="Calibri" w:cs="Calibri"/>
              <w:i/>
              <w:iCs/>
              <w:color w:val="000000"/>
            </w:rPr>
            <w:t>12</w:t>
          </w:r>
          <w:r w:rsidRPr="002876F3">
            <w:rPr>
              <w:rFonts w:ascii="Calibri" w:eastAsia="Times New Roman" w:hAnsi="Calibri" w:cs="Calibri"/>
              <w:color w:val="000000"/>
            </w:rPr>
            <w:t>(1). https://doi.org/10.3390/w12010026</w:t>
          </w:r>
        </w:p>
        <w:p w14:paraId="7DECC041" w14:textId="77777777" w:rsidR="002876F3" w:rsidRPr="002876F3" w:rsidRDefault="002876F3">
          <w:pPr>
            <w:autoSpaceDE w:val="0"/>
            <w:autoSpaceDN w:val="0"/>
            <w:ind w:hanging="480"/>
            <w:divId w:val="2098018605"/>
            <w:rPr>
              <w:rFonts w:ascii="Calibri" w:eastAsia="Times New Roman" w:hAnsi="Calibri" w:cs="Calibri"/>
              <w:color w:val="000000"/>
            </w:rPr>
          </w:pPr>
          <w:r w:rsidRPr="002876F3">
            <w:rPr>
              <w:rFonts w:ascii="Calibri" w:eastAsia="Times New Roman" w:hAnsi="Calibri" w:cs="Calibri"/>
              <w:color w:val="000000"/>
            </w:rPr>
            <w:t xml:space="preserve">Zhang, X., </w:t>
          </w:r>
          <w:proofErr w:type="spellStart"/>
          <w:r w:rsidRPr="002876F3">
            <w:rPr>
              <w:rFonts w:ascii="Calibri" w:eastAsia="Times New Roman" w:hAnsi="Calibri" w:cs="Calibri"/>
              <w:color w:val="000000"/>
            </w:rPr>
            <w:t>Nie</w:t>
          </w:r>
          <w:proofErr w:type="spellEnd"/>
          <w:r w:rsidRPr="002876F3">
            <w:rPr>
              <w:rFonts w:ascii="Calibri" w:eastAsia="Times New Roman" w:hAnsi="Calibri" w:cs="Calibri"/>
              <w:color w:val="000000"/>
            </w:rPr>
            <w:t xml:space="preserve">, L., Gao, H., Yu, H., &amp; Liu, D. (2023). Applying second derivative synchronous fluorescence spectroscopy combined with Gaussian band fitting to trace variations of DOM fractions along an urban river. </w:t>
          </w:r>
          <w:r w:rsidRPr="002876F3">
            <w:rPr>
              <w:rFonts w:ascii="Calibri" w:eastAsia="Times New Roman" w:hAnsi="Calibri" w:cs="Calibri"/>
              <w:i/>
              <w:iCs/>
              <w:color w:val="000000"/>
            </w:rPr>
            <w:t>Ecological Indicators</w:t>
          </w:r>
          <w:r w:rsidRPr="002876F3">
            <w:rPr>
              <w:rFonts w:ascii="Calibri" w:eastAsia="Times New Roman" w:hAnsi="Calibri" w:cs="Calibri"/>
              <w:color w:val="000000"/>
            </w:rPr>
            <w:t xml:space="preserve">, </w:t>
          </w:r>
          <w:r w:rsidRPr="002876F3">
            <w:rPr>
              <w:rFonts w:ascii="Calibri" w:eastAsia="Times New Roman" w:hAnsi="Calibri" w:cs="Calibri"/>
              <w:i/>
              <w:iCs/>
              <w:color w:val="000000"/>
            </w:rPr>
            <w:t>146</w:t>
          </w:r>
          <w:r w:rsidRPr="002876F3">
            <w:rPr>
              <w:rFonts w:ascii="Calibri" w:eastAsia="Times New Roman" w:hAnsi="Calibri" w:cs="Calibri"/>
              <w:color w:val="000000"/>
            </w:rPr>
            <w:t>. https://doi.org/10.1016/j.ecolind.2023.109872</w:t>
          </w:r>
        </w:p>
        <w:p w14:paraId="7E988082" w14:textId="77777777" w:rsidR="002876F3" w:rsidRPr="002876F3" w:rsidRDefault="002876F3">
          <w:pPr>
            <w:autoSpaceDE w:val="0"/>
            <w:autoSpaceDN w:val="0"/>
            <w:ind w:hanging="480"/>
            <w:divId w:val="813522829"/>
            <w:rPr>
              <w:rFonts w:ascii="Calibri" w:eastAsia="Times New Roman" w:hAnsi="Calibri" w:cs="Calibri"/>
              <w:color w:val="000000"/>
            </w:rPr>
          </w:pPr>
          <w:r w:rsidRPr="002876F3">
            <w:rPr>
              <w:rFonts w:ascii="Calibri" w:eastAsia="Times New Roman" w:hAnsi="Calibri" w:cs="Calibri"/>
              <w:color w:val="000000"/>
            </w:rPr>
            <w:t xml:space="preserve">Zhou, X., Zheng, L., Chen, S., Du, H., </w:t>
          </w:r>
          <w:proofErr w:type="spellStart"/>
          <w:r w:rsidRPr="002876F3">
            <w:rPr>
              <w:rFonts w:ascii="Calibri" w:eastAsia="Times New Roman" w:hAnsi="Calibri" w:cs="Calibri"/>
              <w:color w:val="000000"/>
            </w:rPr>
            <w:t>Gakoko</w:t>
          </w:r>
          <w:proofErr w:type="spellEnd"/>
          <w:r w:rsidRPr="002876F3">
            <w:rPr>
              <w:rFonts w:ascii="Calibri" w:eastAsia="Times New Roman" w:hAnsi="Calibri" w:cs="Calibri"/>
              <w:color w:val="000000"/>
            </w:rPr>
            <w:t xml:space="preserve"> Raphael, B. M., Song, Q., Wu, F., Chen, J., Lin, H., &amp; Hong, H. (2019). Factors influencing DBPs occurrence in tap water of Jinhua Region in Zhejiang Province, China. </w:t>
          </w:r>
          <w:r w:rsidRPr="002876F3">
            <w:rPr>
              <w:rFonts w:ascii="Calibri" w:eastAsia="Times New Roman" w:hAnsi="Calibri" w:cs="Calibri"/>
              <w:i/>
              <w:iCs/>
              <w:color w:val="000000"/>
            </w:rPr>
            <w:t>Ecotoxicology and Environmental Safety</w:t>
          </w:r>
          <w:r w:rsidRPr="002876F3">
            <w:rPr>
              <w:rFonts w:ascii="Calibri" w:eastAsia="Times New Roman" w:hAnsi="Calibri" w:cs="Calibri"/>
              <w:color w:val="000000"/>
            </w:rPr>
            <w:t xml:space="preserve">, </w:t>
          </w:r>
          <w:r w:rsidRPr="002876F3">
            <w:rPr>
              <w:rFonts w:ascii="Calibri" w:eastAsia="Times New Roman" w:hAnsi="Calibri" w:cs="Calibri"/>
              <w:i/>
              <w:iCs/>
              <w:color w:val="000000"/>
            </w:rPr>
            <w:t>171</w:t>
          </w:r>
          <w:r w:rsidRPr="002876F3">
            <w:rPr>
              <w:rFonts w:ascii="Calibri" w:eastAsia="Times New Roman" w:hAnsi="Calibri" w:cs="Calibri"/>
              <w:color w:val="000000"/>
            </w:rPr>
            <w:t>, 813–822. https://doi.org/10.1016/j.ecoenv.2018.12.106</w:t>
          </w:r>
        </w:p>
        <w:p w14:paraId="5739323C" w14:textId="3B870804" w:rsidR="009832E1" w:rsidRDefault="002876F3">
          <w:r w:rsidRPr="002876F3">
            <w:rPr>
              <w:rFonts w:ascii="Calibri" w:eastAsia="Times New Roman" w:hAnsi="Calibri" w:cs="Calibri"/>
              <w:color w:val="000000"/>
            </w:rPr>
            <w:t> </w:t>
          </w:r>
        </w:p>
      </w:sdtContent>
    </w:sdt>
    <w:sectPr w:rsidR="009832E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3FCC2" w14:textId="77777777" w:rsidR="006052D0" w:rsidRDefault="006052D0">
      <w:pPr>
        <w:spacing w:line="240" w:lineRule="auto"/>
      </w:pPr>
      <w:r>
        <w:separator/>
      </w:r>
    </w:p>
  </w:endnote>
  <w:endnote w:type="continuationSeparator" w:id="0">
    <w:p w14:paraId="71BCB698" w14:textId="77777777" w:rsidR="006052D0" w:rsidRDefault="006052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3447225"/>
    </w:sdtPr>
    <w:sdtContent>
      <w:p w14:paraId="402DD6C5" w14:textId="77777777" w:rsidR="009832E1" w:rsidRDefault="00000000">
        <w:pPr>
          <w:pStyle w:val="Footer"/>
          <w:jc w:val="right"/>
        </w:pPr>
        <w:r>
          <w:fldChar w:fldCharType="begin"/>
        </w:r>
        <w:r>
          <w:instrText xml:space="preserve"> PAGE   \* MERGEFORMAT </w:instrText>
        </w:r>
        <w:r>
          <w:fldChar w:fldCharType="separate"/>
        </w:r>
        <w:r>
          <w:t>2</w:t>
        </w:r>
        <w:r>
          <w:fldChar w:fldCharType="end"/>
        </w:r>
      </w:p>
    </w:sdtContent>
  </w:sdt>
  <w:p w14:paraId="3995110B" w14:textId="77777777" w:rsidR="009832E1" w:rsidRDefault="009832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5E34D" w14:textId="77777777" w:rsidR="006052D0" w:rsidRDefault="006052D0">
      <w:pPr>
        <w:spacing w:after="0"/>
      </w:pPr>
      <w:r>
        <w:separator/>
      </w:r>
    </w:p>
  </w:footnote>
  <w:footnote w:type="continuationSeparator" w:id="0">
    <w:p w14:paraId="0FB506C6" w14:textId="77777777" w:rsidR="006052D0" w:rsidRDefault="006052D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F81"/>
    <w:rsid w:val="00064EB4"/>
    <w:rsid w:val="00070FB8"/>
    <w:rsid w:val="000D37E9"/>
    <w:rsid w:val="000F52D7"/>
    <w:rsid w:val="00114CD2"/>
    <w:rsid w:val="001608E4"/>
    <w:rsid w:val="00165E43"/>
    <w:rsid w:val="00181625"/>
    <w:rsid w:val="00191DB0"/>
    <w:rsid w:val="00226358"/>
    <w:rsid w:val="002876F3"/>
    <w:rsid w:val="002D1B26"/>
    <w:rsid w:val="002E1F1A"/>
    <w:rsid w:val="002E3FD7"/>
    <w:rsid w:val="00316657"/>
    <w:rsid w:val="0032509E"/>
    <w:rsid w:val="003836BA"/>
    <w:rsid w:val="003B4839"/>
    <w:rsid w:val="003D6579"/>
    <w:rsid w:val="0043670E"/>
    <w:rsid w:val="004503F3"/>
    <w:rsid w:val="00452CFE"/>
    <w:rsid w:val="00457A69"/>
    <w:rsid w:val="0046251A"/>
    <w:rsid w:val="004646F5"/>
    <w:rsid w:val="004663DD"/>
    <w:rsid w:val="004F79E4"/>
    <w:rsid w:val="00527DE9"/>
    <w:rsid w:val="00533E61"/>
    <w:rsid w:val="00556F81"/>
    <w:rsid w:val="005C0CCE"/>
    <w:rsid w:val="005D7D0F"/>
    <w:rsid w:val="006052D0"/>
    <w:rsid w:val="006B10E7"/>
    <w:rsid w:val="006F32E0"/>
    <w:rsid w:val="00737509"/>
    <w:rsid w:val="00745496"/>
    <w:rsid w:val="007461B4"/>
    <w:rsid w:val="007C1959"/>
    <w:rsid w:val="00831FDC"/>
    <w:rsid w:val="008B25D2"/>
    <w:rsid w:val="008C2664"/>
    <w:rsid w:val="008E24F5"/>
    <w:rsid w:val="008F5939"/>
    <w:rsid w:val="009832E1"/>
    <w:rsid w:val="009B3C7A"/>
    <w:rsid w:val="009D5C42"/>
    <w:rsid w:val="00A11A37"/>
    <w:rsid w:val="00A148EB"/>
    <w:rsid w:val="00A34B79"/>
    <w:rsid w:val="00A739AB"/>
    <w:rsid w:val="00A9594E"/>
    <w:rsid w:val="00B0342B"/>
    <w:rsid w:val="00B25619"/>
    <w:rsid w:val="00B32059"/>
    <w:rsid w:val="00B40DCD"/>
    <w:rsid w:val="00B93476"/>
    <w:rsid w:val="00B94CF8"/>
    <w:rsid w:val="00C01A21"/>
    <w:rsid w:val="00C10B8F"/>
    <w:rsid w:val="00C95BFB"/>
    <w:rsid w:val="00D00195"/>
    <w:rsid w:val="00D35E14"/>
    <w:rsid w:val="00DF4491"/>
    <w:rsid w:val="00EF614C"/>
    <w:rsid w:val="00F01142"/>
    <w:rsid w:val="00F54064"/>
    <w:rsid w:val="00F60BE2"/>
    <w:rsid w:val="00FC75BA"/>
    <w:rsid w:val="00FE5EFC"/>
    <w:rsid w:val="00FF0F42"/>
    <w:rsid w:val="20E67298"/>
    <w:rsid w:val="3ABD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5B7CF23"/>
  <w15:docId w15:val="{AD850030-A246-4A13-A8C0-036E0C6BA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14:ligatures w14:val="standardContextual"/>
    </w:rPr>
  </w:style>
  <w:style w:type="paragraph" w:styleId="Heading1">
    <w:name w:val="heading 1"/>
    <w:basedOn w:val="Normal"/>
    <w:next w:val="Normal"/>
    <w:link w:val="Heading1Char"/>
    <w:uiPriority w:val="9"/>
    <w:qFormat/>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line="259"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line="259" w:lineRule="auto"/>
      <w:outlineLvl w:val="3"/>
    </w:pPr>
    <w:rPr>
      <w:rFonts w:eastAsiaTheme="majorEastAsia" w:cstheme="majorBidi"/>
      <w:i/>
      <w:iCs/>
      <w:color w:val="2F5496" w:themeColor="accent1" w:themeShade="BF"/>
      <w:sz w:val="22"/>
      <w:szCs w:val="22"/>
    </w:rPr>
  </w:style>
  <w:style w:type="paragraph" w:styleId="Heading5">
    <w:name w:val="heading 5"/>
    <w:basedOn w:val="Normal"/>
    <w:next w:val="Normal"/>
    <w:link w:val="Heading5Char"/>
    <w:uiPriority w:val="9"/>
    <w:semiHidden/>
    <w:unhideWhenUsed/>
    <w:qFormat/>
    <w:pPr>
      <w:keepNext/>
      <w:keepLines/>
      <w:spacing w:before="80" w:after="40" w:line="259" w:lineRule="auto"/>
      <w:outlineLvl w:val="4"/>
    </w:pPr>
    <w:rPr>
      <w:rFonts w:eastAsiaTheme="majorEastAsia" w:cstheme="majorBidi"/>
      <w:color w:val="2F5496" w:themeColor="accent1" w:themeShade="BF"/>
      <w:sz w:val="22"/>
      <w:szCs w:val="22"/>
    </w:rPr>
  </w:style>
  <w:style w:type="paragraph" w:styleId="Heading6">
    <w:name w:val="heading 6"/>
    <w:basedOn w:val="Normal"/>
    <w:next w:val="Normal"/>
    <w:link w:val="Heading6Char"/>
    <w:uiPriority w:val="9"/>
    <w:semiHidden/>
    <w:unhideWhenUsed/>
    <w:qFormat/>
    <w:pPr>
      <w:keepNext/>
      <w:keepLines/>
      <w:spacing w:before="40" w:after="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pPr>
      <w:keepNext/>
      <w:keepLines/>
      <w:spacing w:before="40" w:after="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pPr>
      <w:keepNext/>
      <w:keepLines/>
      <w:spacing w:after="0" w:line="259" w:lineRule="auto"/>
      <w:outlineLvl w:val="7"/>
    </w:pPr>
    <w:rPr>
      <w:rFonts w:eastAsiaTheme="majorEastAsia" w:cstheme="majorBidi"/>
      <w:i/>
      <w:iCs/>
      <w:color w:val="262626" w:themeColor="text1" w:themeTint="D9"/>
      <w:sz w:val="22"/>
      <w:szCs w:val="22"/>
    </w:rPr>
  </w:style>
  <w:style w:type="paragraph" w:styleId="Heading9">
    <w:name w:val="heading 9"/>
    <w:basedOn w:val="Normal"/>
    <w:next w:val="Normal"/>
    <w:link w:val="Heading9Char"/>
    <w:uiPriority w:val="9"/>
    <w:semiHidden/>
    <w:unhideWhenUsed/>
    <w:qFormat/>
    <w:pPr>
      <w:keepNext/>
      <w:keepLines/>
      <w:spacing w:after="0" w:line="259" w:lineRule="auto"/>
      <w:outlineLvl w:val="8"/>
    </w:pPr>
    <w:rPr>
      <w:rFonts w:eastAsiaTheme="majorEastAsia" w:cstheme="majorBidi"/>
      <w:color w:val="262626" w:themeColor="text1" w:themeTint="D9"/>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paragraph" w:styleId="CommentText">
    <w:name w:val="annotation text"/>
    <w:basedOn w:val="Normal"/>
    <w:link w:val="CommentTextChar"/>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Subtitle">
    <w:name w:val="Subtitle"/>
    <w:basedOn w:val="Normal"/>
    <w:next w:val="Normal"/>
    <w:link w:val="SubtitleChar"/>
    <w:uiPriority w:val="11"/>
    <w:qFormat/>
    <w:pPr>
      <w:spacing w:line="259" w:lineRule="auto"/>
    </w:pPr>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rPr>
      <w:rFonts w:eastAsiaTheme="majorEastAsia" w:cstheme="majorBidi"/>
      <w:color w:val="262626" w:themeColor="text1" w:themeTint="D9"/>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spacing w:line="259" w:lineRule="auto"/>
      <w:ind w:left="720"/>
      <w:contextualSpacing/>
    </w:pPr>
    <w:rPr>
      <w:sz w:val="22"/>
      <w:szCs w:val="22"/>
    </w:rPr>
  </w:style>
  <w:style w:type="character" w:customStyle="1" w:styleId="IntenseEmphasis1">
    <w:name w:val="Intense Emphasis1"/>
    <w:basedOn w:val="DefaultParagraphFont"/>
    <w:uiPriority w:val="21"/>
    <w:qFormat/>
    <w:rPr>
      <w:i/>
      <w:iCs/>
      <w:color w:val="2F5496" w:themeColor="accent1" w:themeShade="BF"/>
    </w:rPr>
  </w:style>
  <w:style w:type="paragraph" w:styleId="IntenseQuote">
    <w:name w:val="Intense Quote"/>
    <w:basedOn w:val="Normal"/>
    <w:next w:val="Normal"/>
    <w:link w:val="IntenseQuoteChar"/>
    <w:uiPriority w:val="30"/>
    <w:qFormat/>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sz w:val="22"/>
      <w:szCs w:val="22"/>
    </w:rPr>
  </w:style>
  <w:style w:type="character" w:customStyle="1" w:styleId="IntenseQuoteChar">
    <w:name w:val="Intense Quote Char"/>
    <w:basedOn w:val="DefaultParagraphFont"/>
    <w:link w:val="IntenseQuote"/>
    <w:uiPriority w:val="30"/>
    <w:qFormat/>
    <w:rPr>
      <w:i/>
      <w:iCs/>
      <w:color w:val="2F5496" w:themeColor="accent1" w:themeShade="BF"/>
    </w:rPr>
  </w:style>
  <w:style w:type="character" w:customStyle="1" w:styleId="IntenseReference1">
    <w:name w:val="Intense Reference1"/>
    <w:basedOn w:val="DefaultParagraphFont"/>
    <w:uiPriority w:val="32"/>
    <w:qFormat/>
    <w:rPr>
      <w:b/>
      <w:bCs/>
      <w:smallCaps/>
      <w:color w:val="2F5496" w:themeColor="accent1" w:themeShade="BF"/>
      <w:spacing w:val="5"/>
    </w:rPr>
  </w:style>
  <w:style w:type="character" w:customStyle="1" w:styleId="HeaderChar">
    <w:name w:val="Header Char"/>
    <w:basedOn w:val="DefaultParagraphFont"/>
    <w:link w:val="Header"/>
    <w:uiPriority w:val="99"/>
    <w:rPr>
      <w:sz w:val="24"/>
      <w:szCs w:val="24"/>
    </w:rPr>
  </w:style>
  <w:style w:type="character" w:customStyle="1" w:styleId="FooterChar">
    <w:name w:val="Footer Char"/>
    <w:basedOn w:val="DefaultParagraphFont"/>
    <w:link w:val="Footer"/>
    <w:uiPriority w:val="99"/>
    <w:rPr>
      <w:sz w:val="24"/>
      <w:szCs w:val="24"/>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1">
    <w:name w:val="修订1"/>
    <w:hidden/>
    <w:uiPriority w:val="99"/>
    <w:unhideWhenUsed/>
    <w:rPr>
      <w:kern w:val="2"/>
      <w:sz w:val="24"/>
      <w:szCs w:val="24"/>
      <w14:ligatures w14:val="standardContextual"/>
    </w:rPr>
  </w:style>
  <w:style w:type="paragraph" w:styleId="Revision">
    <w:name w:val="Revision"/>
    <w:hidden/>
    <w:uiPriority w:val="99"/>
    <w:unhideWhenUsed/>
    <w:rsid w:val="003B4839"/>
    <w:rPr>
      <w:kern w:val="2"/>
      <w:sz w:val="24"/>
      <w:szCs w:val="24"/>
      <w14:ligatures w14:val="standardContextual"/>
    </w:rPr>
  </w:style>
  <w:style w:type="paragraph" w:styleId="CommentSubject">
    <w:name w:val="annotation subject"/>
    <w:basedOn w:val="CommentText"/>
    <w:next w:val="CommentText"/>
    <w:link w:val="CommentSubjectChar"/>
    <w:uiPriority w:val="99"/>
    <w:semiHidden/>
    <w:unhideWhenUsed/>
    <w:rsid w:val="003B4839"/>
    <w:rPr>
      <w:b/>
      <w:bCs/>
    </w:rPr>
  </w:style>
  <w:style w:type="character" w:customStyle="1" w:styleId="CommentTextChar">
    <w:name w:val="Comment Text Char"/>
    <w:basedOn w:val="DefaultParagraphFont"/>
    <w:link w:val="CommentText"/>
    <w:uiPriority w:val="99"/>
    <w:semiHidden/>
    <w:rsid w:val="003B4839"/>
    <w:rPr>
      <w:kern w:val="2"/>
      <w:sz w:val="24"/>
      <w:szCs w:val="24"/>
      <w14:ligatures w14:val="standardContextual"/>
    </w:rPr>
  </w:style>
  <w:style w:type="character" w:customStyle="1" w:styleId="CommentSubjectChar">
    <w:name w:val="Comment Subject Char"/>
    <w:basedOn w:val="CommentTextChar"/>
    <w:link w:val="CommentSubject"/>
    <w:uiPriority w:val="99"/>
    <w:semiHidden/>
    <w:rsid w:val="003B4839"/>
    <w:rPr>
      <w:b/>
      <w:bCs/>
      <w:kern w:val="2"/>
      <w:sz w:val="24"/>
      <w:szCs w:val="24"/>
      <w14:ligatures w14:val="standardContextual"/>
    </w:rPr>
  </w:style>
  <w:style w:type="character" w:styleId="PlaceholderText">
    <w:name w:val="Placeholder Text"/>
    <w:basedOn w:val="DefaultParagraphFont"/>
    <w:uiPriority w:val="99"/>
    <w:unhideWhenUsed/>
    <w:rsid w:val="007461B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9448714">
      <w:bodyDiv w:val="1"/>
      <w:marLeft w:val="0"/>
      <w:marRight w:val="0"/>
      <w:marTop w:val="0"/>
      <w:marBottom w:val="0"/>
      <w:divBdr>
        <w:top w:val="none" w:sz="0" w:space="0" w:color="auto"/>
        <w:left w:val="none" w:sz="0" w:space="0" w:color="auto"/>
        <w:bottom w:val="none" w:sz="0" w:space="0" w:color="auto"/>
        <w:right w:val="none" w:sz="0" w:space="0" w:color="auto"/>
      </w:divBdr>
      <w:divsChild>
        <w:div w:id="1619488420">
          <w:marLeft w:val="480"/>
          <w:marRight w:val="0"/>
          <w:marTop w:val="0"/>
          <w:marBottom w:val="0"/>
          <w:divBdr>
            <w:top w:val="none" w:sz="0" w:space="0" w:color="auto"/>
            <w:left w:val="none" w:sz="0" w:space="0" w:color="auto"/>
            <w:bottom w:val="none" w:sz="0" w:space="0" w:color="auto"/>
            <w:right w:val="none" w:sz="0" w:space="0" w:color="auto"/>
          </w:divBdr>
        </w:div>
        <w:div w:id="1049764417">
          <w:marLeft w:val="480"/>
          <w:marRight w:val="0"/>
          <w:marTop w:val="0"/>
          <w:marBottom w:val="0"/>
          <w:divBdr>
            <w:top w:val="none" w:sz="0" w:space="0" w:color="auto"/>
            <w:left w:val="none" w:sz="0" w:space="0" w:color="auto"/>
            <w:bottom w:val="none" w:sz="0" w:space="0" w:color="auto"/>
            <w:right w:val="none" w:sz="0" w:space="0" w:color="auto"/>
          </w:divBdr>
        </w:div>
        <w:div w:id="625433495">
          <w:marLeft w:val="480"/>
          <w:marRight w:val="0"/>
          <w:marTop w:val="0"/>
          <w:marBottom w:val="0"/>
          <w:divBdr>
            <w:top w:val="none" w:sz="0" w:space="0" w:color="auto"/>
            <w:left w:val="none" w:sz="0" w:space="0" w:color="auto"/>
            <w:bottom w:val="none" w:sz="0" w:space="0" w:color="auto"/>
            <w:right w:val="none" w:sz="0" w:space="0" w:color="auto"/>
          </w:divBdr>
        </w:div>
      </w:divsChild>
    </w:div>
    <w:div w:id="870530699">
      <w:bodyDiv w:val="1"/>
      <w:marLeft w:val="0"/>
      <w:marRight w:val="0"/>
      <w:marTop w:val="0"/>
      <w:marBottom w:val="0"/>
      <w:divBdr>
        <w:top w:val="none" w:sz="0" w:space="0" w:color="auto"/>
        <w:left w:val="none" w:sz="0" w:space="0" w:color="auto"/>
        <w:bottom w:val="none" w:sz="0" w:space="0" w:color="auto"/>
        <w:right w:val="none" w:sz="0" w:space="0" w:color="auto"/>
      </w:divBdr>
      <w:divsChild>
        <w:div w:id="1247694786">
          <w:marLeft w:val="480"/>
          <w:marRight w:val="0"/>
          <w:marTop w:val="0"/>
          <w:marBottom w:val="0"/>
          <w:divBdr>
            <w:top w:val="none" w:sz="0" w:space="0" w:color="auto"/>
            <w:left w:val="none" w:sz="0" w:space="0" w:color="auto"/>
            <w:bottom w:val="none" w:sz="0" w:space="0" w:color="auto"/>
            <w:right w:val="none" w:sz="0" w:space="0" w:color="auto"/>
          </w:divBdr>
        </w:div>
        <w:div w:id="356346386">
          <w:marLeft w:val="480"/>
          <w:marRight w:val="0"/>
          <w:marTop w:val="0"/>
          <w:marBottom w:val="0"/>
          <w:divBdr>
            <w:top w:val="none" w:sz="0" w:space="0" w:color="auto"/>
            <w:left w:val="none" w:sz="0" w:space="0" w:color="auto"/>
            <w:bottom w:val="none" w:sz="0" w:space="0" w:color="auto"/>
            <w:right w:val="none" w:sz="0" w:space="0" w:color="auto"/>
          </w:divBdr>
        </w:div>
        <w:div w:id="651106214">
          <w:marLeft w:val="480"/>
          <w:marRight w:val="0"/>
          <w:marTop w:val="0"/>
          <w:marBottom w:val="0"/>
          <w:divBdr>
            <w:top w:val="none" w:sz="0" w:space="0" w:color="auto"/>
            <w:left w:val="none" w:sz="0" w:space="0" w:color="auto"/>
            <w:bottom w:val="none" w:sz="0" w:space="0" w:color="auto"/>
            <w:right w:val="none" w:sz="0" w:space="0" w:color="auto"/>
          </w:divBdr>
        </w:div>
        <w:div w:id="2098018605">
          <w:marLeft w:val="480"/>
          <w:marRight w:val="0"/>
          <w:marTop w:val="0"/>
          <w:marBottom w:val="0"/>
          <w:divBdr>
            <w:top w:val="none" w:sz="0" w:space="0" w:color="auto"/>
            <w:left w:val="none" w:sz="0" w:space="0" w:color="auto"/>
            <w:bottom w:val="none" w:sz="0" w:space="0" w:color="auto"/>
            <w:right w:val="none" w:sz="0" w:space="0" w:color="auto"/>
          </w:divBdr>
        </w:div>
        <w:div w:id="813522829">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enarandika@gmail.co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znhao@rcees.ac.cn*"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C8104E7-2605-4536-B07B-5EB3D3CD3B1C}"/>
      </w:docPartPr>
      <w:docPartBody>
        <w:p w:rsidR="00000000" w:rsidRDefault="001F7732">
          <w:r w:rsidRPr="00DF71C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732"/>
    <w:rsid w:val="00064EB4"/>
    <w:rsid w:val="001F7732"/>
    <w:rsid w:val="00981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1F7732"/>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B254F5-FFCF-4B82-BC4C-4ABF1EB2F285}">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8562536825"/>
    <we:property name="MENDELEY_CITATIONS" value="[{&quot;citationID&quot;:&quot;MENDELEY_CITATION_51dab508-a284-40ca-b522-80e837dab2f4&quot;,&quot;properties&quot;:{&quot;noteIndex&quot;:0},&quot;isEdited&quot;:false,&quot;manualOverride&quot;:{&quot;isManuallyOverridden&quot;:false,&quot;citeprocText&quot;:&quot;(Zhou et al., 2019)&quot;,&quot;manualOverrideText&quot;:&quot;&quot;},&quot;citationTag&quot;:&quot;MENDELEY_CITATION_v3_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&quot;,&quot;citationItems&quot;:[{&quot;id&quot;:&quot;b8e61a03-f06b-3ecb-b2e8-db687858add7&quot;,&quot;itemData&quot;:{&quot;type&quot;:&quot;article-journal&quot;,&quot;id&quot;:&quot;b8e61a03-f06b-3ecb-b2e8-db687858add7&quot;,&quot;title&quot;:&quot;Factors influencing DBPs occurrence in tap water of Jinhua Region in Zhejiang Province, China&quot;,&quot;author&quot;:[{&quot;family&quot;:&quot;Zhou&quot;,&quot;given&quot;:&quot;Xiaoling&quot;,&quot;parse-names&quot;:false,&quot;dropping-particle&quot;:&quot;&quot;,&quot;non-dropping-particle&quot;:&quot;&quot;},{&quot;family&quot;:&quot;Zheng&quot;,&quot;given&quot;:&quot;Lili&quot;,&quot;parse-names&quot;:false,&quot;dropping-particle&quot;:&quot;&quot;,&quot;non-dropping-particle&quot;:&quot;&quot;},{&quot;family&quot;:&quot;Chen&quot;,&quot;given&quot;:&quot;Shiyan&quot;,&quot;parse-names&quot;:false,&quot;dropping-particle&quot;:&quot;&quot;,&quot;non-dropping-particle&quot;:&quot;&quot;},{&quot;family&quot;:&quot;Du&quot;,&quot;given&quot;:&quot;Hongwei&quot;,&quot;parse-names&quot;:false,&quot;dropping-particle&quot;:&quot;&quot;,&quot;non-dropping-particle&quot;:&quot;&quot;},{&quot;family&quot;:&quot;Gakoko Raphael&quot;,&quot;given&quot;:&quot;Benimana Muhire&quot;,&quot;parse-names&quot;:false,&quot;dropping-particle&quot;:&quot;&quot;,&quot;non-dropping-particle&quot;:&quot;&quot;},{&quot;family&quot;:&quot;Song&quot;,&quot;given&quot;:&quot;Qianyun&quot;,&quot;parse-names&quot;:false,&quot;dropping-particle&quot;:&quot;&quot;,&quot;non-dropping-particle&quot;:&quot;&quot;},{&quot;family&quot;:&quot;Wu&quot;,&quot;given&quot;:&quot;Fuyong&quot;,&quot;parse-names&quot;:false,&quot;dropping-particle&quot;:&quot;&quot;,&quot;non-dropping-particle&quot;:&quot;&quot;},{&quot;family&quot;:&quot;Chen&quot;,&quot;given&quot;:&quot;Jianrong&quot;,&quot;parse-names&quot;:false,&quot;dropping-particle&quot;:&quot;&quot;,&quot;non-dropping-particle&quot;:&quot;&quot;},{&quot;family&quot;:&quot;Lin&quot;,&quot;given&quot;:&quot;Hongjun&quot;,&quot;parse-names&quot;:false,&quot;dropping-particle&quot;:&quot;&quot;,&quot;non-dropping-particle&quot;:&quot;&quot;},{&quot;family&quot;:&quot;Hong&quot;,&quot;given&quot;:&quot;Huachang&quot;,&quot;parse-names&quot;:false,&quot;dropping-particle&quot;:&quot;&quot;,&quot;non-dropping-particle&quot;:&quot;&quot;}],&quot;container-title&quot;:&quot;Ecotoxicology and Environmental Safety&quot;,&quot;container-title-short&quot;:&quot;Ecotoxicol. Environ. Saf.&quot;,&quot;DOI&quot;:&quot;10.1016/j.ecoenv.2018.12.106&quot;,&quot;ISSN&quot;:&quot;10902414&quot;,&quot;PMID&quot;:&quot;30660975&quot;,&quot;issued&quot;:{&quot;date-parts&quot;:[[2019,4,30]]},&quot;page&quot;:&quot;813-822&quot;,&quot;abstract&quot;:&quot;Investigating the occurrence of disinfection by-products (DBPs) and identify the related influencing factors in drinking water is essentially important to control DBPs risk. In this study, 64 tap water samples were collected from 8 counties (or county level cities) in Jinhua Region of Zhejiang Province, China. Results showed that the median (range) of trihalomethane (THMs), haloacetic acids (HAAs), haloacetonitriles (HANs), haloketones (HKs) and halonitromethanes (HNMs) were 23.2 (9.1–40.9), 15.3 (5.8–38.6), 2.2 (0.7–7.6), 2.1 (0.2–6.4) and 0.7 (0.2–2.9) µg/L, respectively. HAAs, HANs, HKs and HNMs levels were generally higher in summer than in winter or spring, while for THMs in most counties, higher levels occurred in winter than in summer or spring. Spatially, Yongkang, Yiwu and Dongyang had higher DBPs levels than Pujiang, Pan'an, Lanxi, Wuyi and Jinhua, which was generally consistent with their economy development (GDP). Correlation analysis showed that DBPs occurrence in tap water was significantly related with physicochemical parameters. Principle component analysis further suggested that organic matter (DOC and UVA 254 ) are the major factors influencing the occurrence of THMs, HAAs, HANs and HKs in tap water, while for HNMs, both the organic (DOC and UVA 254 ) and inorganic factors (e.g. Temp, NO 2- -N, pH, Br - and NH 4+ -N) played important role in its formation.&quot;,&quot;publisher&quot;:&quot;Academic Press&quot;,&quot;volume&quot;:&quot;171&quot;},&quot;isTemporary&quot;:false}]},{&quot;citationID&quot;:&quot;MENDELEY_CITATION_61330413-ed15-4ef7-b60c-86a729d8a169&quot;,&quot;properties&quot;:{&quot;noteIndex&quot;:0},&quot;isEdited&quot;:false,&quot;manualOverride&quot;:{&quot;isManuallyOverridden&quot;:false,&quot;citeprocText&quot;:&quot;(He et al., 2022; Zhang et al., 2023)&quot;,&quot;manualOverrideText&quot;:&quot;&quot;},&quot;citationTag&quot;:&quot;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&quot;,&quot;citationItems&quot;:[{&quot;id&quot;:&quot;9601b676-abba-3abe-95e7-bc172448988c&quot;,&quot;itemData&quot;:{&quot;type&quot;:&quot;article-journal&quot;,&quot;id&quot;:&quot;9601b676-abba-3abe-95e7-bc172448988c&quot;,&quot;title&quot;:&quot;Fluorescence characteristics of DOM and its influence on water quality of rivers and lakes in the Dianchi Lake basin&quot;,&quot;author&quot;:[{&quot;family&quot;:&quot;He&quot;,&quot;given&quot;:&quot;Jia&quot;,&quot;parse-names&quot;:false,&quot;dropping-particle&quot;:&quot;&quot;,&quot;non-dropping-particle&quot;:&quot;&quot;},{&quot;family&quot;:&quot;Wu&quot;,&quot;given&quot;:&quot;Xue&quot;,&quot;parse-names&quot;:false,&quot;dropping-particle&quot;:&quot;&quot;,&quot;non-dropping-particle&quot;:&quot;&quot;},{&quot;family&quot;:&quot;Zhi&quot;,&quot;given&quot;:&quot;Guoqiang&quot;,&quot;parse-names&quot;:false,&quot;dropping-particle&quot;:&quot;&quot;,&quot;non-dropping-particle&quot;:&quot;&quot;},{&quot;family&quot;:&quot;Yang&quot;,&quot;given&quot;:&quot;Yan&quot;,&quot;parse-names&quot;:false,&quot;dropping-particle&quot;:&quot;&quot;,&quot;non-dropping-particle&quot;:&quot;&quot;},{&quot;family&quot;:&quot;Wu&quot;,&quot;given&quot;:&quot;Lifang&quot;,&quot;parse-names&quot;:false,&quot;dropping-particle&quot;:&quot;&quot;,&quot;non-dropping-particle&quot;:&quot;&quot;},{&quot;family&quot;:&quot;Zhang&quot;,&quot;given&quot;:&quot;Ying&quot;,&quot;parse-names&quot;:false,&quot;dropping-particle&quot;:&quot;&quot;,&quot;non-dropping-particle&quot;:&quot;&quot;},{&quot;family&quot;:&quot;Zheng&quot;,&quot;given&quot;:&quot;Binghui&quot;,&quot;parse-names&quot;:false,&quot;dropping-particle&quot;:&quot;&quot;,&quot;non-dropping-particle&quot;:&quot;&quot;},{&quot;family&quot;:&quot;Qadeer&quot;,&quot;given&quot;:&quot;Abdul&quot;,&quot;parse-names&quot;:false,&quot;dropping-particle&quot;:&quot;&quot;,&quot;non-dropping-particle&quot;:&quot;&quot;},{&quot;family&quot;:&quot;Zheng&quot;,&quot;given&quot;:&quot;Jinlong&quot;,&quot;parse-names&quot;:false,&quot;dropping-particle&quot;:&quot;&quot;,&quot;non-dropping-particle&quot;:&quot;&quot;},{&quot;family&quot;:&quot;Deng&quot;,&quot;given&quot;:&quot;Weiming&quot;,&quot;parse-names&quot;:false,&quot;dropping-particle&quot;:&quot;&quot;,&quot;non-dropping-particle&quot;:&quot;&quot;},{&quot;family&quot;:&quot;Zhou&quot;,&quot;given&quot;:&quot;Hongbin&quot;,&quot;parse-names&quot;:false,&quot;dropping-particle&quot;:&quot;&quot;,&quot;non-dropping-particle&quot;:&quot;&quot;},{&quot;family&quot;:&quot;Shao&quot;,&quot;given&quot;:&quot;Zhi&quot;,&quot;parse-names&quot;:false,&quot;dropping-particle&quot;:&quot;&quot;,&quot;non-dropping-particle&quot;:&quot;&quot;}],&quot;container-title&quot;:&quot;Ecological Indicators&quot;,&quot;container-title-short&quot;:&quot;Ecol. Indic.&quot;,&quot;DOI&quot;:&quot;10.1016/j.ecolind.2022.109088&quot;,&quot;ISSN&quot;:&quot;1470160X&quot;,&quot;issued&quot;:{&quot;date-parts&quot;:[[2022,9,1]]},&quot;abstract&quot;:&quot;Dissolved organic matter (DOM) is an important part of the material cycle in the water environment, and it plays an important role in the nutrient cycle of nitrogen and phosphorus in eutrophic water and biological processes. Dianchi Lake is a heavily eutrophic plateau lake in China. To investigate the fluorescence characteristics of DOM and the influences of DOM on water quality of rivers and lakes in the Dianchi Lake basin, three-dimensional fluorescence spectroscopy and high-resolution mass spectrometry were employed to determine the features of dissolved organic matter (DOM) components. According to the research results, the DOM components in rivers and lakes in the Dianchi Lake basin were dominated by humic-like substances and affected by seasonal changes to a certain extent. DOM in Dianchi Lake is affected by the macrophytes and algae distribution as well as inflowing rivers, but the dominant factors are different in dry and rainy seasons. PCA results indicated that DOM components had relatively high relevance to water quality indicators, especially COD and TN. In conclusion, Lake ecosystem status and pollution levels can be characterized by DOM to some extent, the DOM components in the Dianchi Lake are prone to humification with the implementation of wastewater treatment and aquatic ecological restoration projects, as reflected in the improved water quality index.&quot;,&quot;publisher&quot;:&quot;Elsevier B.V.&quot;,&quot;volume&quot;:&quot;142&quot;},&quot;isTemporary&quot;:false},{&quot;id&quot;:&quot;f8cdbe72-d6a0-3ee3-a36b-bd4f5459885f&quot;,&quot;itemData&quot;:{&quot;type&quot;:&quot;article-journal&quot;,&quot;id&quot;:&quot;f8cdbe72-d6a0-3ee3-a36b-bd4f5459885f&quot;,&quot;title&quot;:&quot;Applying second derivative synchronous fluorescence spectroscopy combined with Gaussian band fitting to trace variations of DOM fractions along an urban river&quot;,&quot;author&quot;:[{&quot;family&quot;:&quot;Zhang&quot;,&quot;given&quot;:&quot;Xiulei&quot;,&quot;parse-names&quot;:false,&quot;dropping-particle&quot;:&quot;&quot;,&quot;non-dropping-particle&quot;:&quot;&quot;},{&quot;family&quot;:&quot;Nie&quot;,&quot;given&quot;:&quot;Lei&quot;,&quot;parse-names&quot;:false,&quot;dropping-particle&quot;:&quot;&quot;,&quot;non-dropping-particle&quot;:&quot;&quot;},{&quot;family&quot;:&quot;Gao&quot;,&quot;given&quot;:&quot;Hongjie&quot;,&quot;parse-names&quot;:false,&quot;dropping-particle&quot;:&quot;&quot;,&quot;non-dropping-particle&quot;:&quot;&quot;},{&quot;family&quot;:&quot;Yu&quot;,&quot;given&quot;:&quot;Huibin&quot;,&quot;parse-names&quot;:false,&quot;dropping-particle&quot;:&quot;&quot;,&quot;non-dropping-particle&quot;:&quot;&quot;},{&quot;family&quot;:&quot;Liu&quot;,&quot;given&quot;:&quot;Dongping&quot;,&quot;parse-names&quot;:false,&quot;dropping-particle&quot;:&quot;&quot;,&quot;non-dropping-particle&quot;:&quot;&quot;}],&quot;container-title&quot;:&quot;Ecological Indicators&quot;,&quot;container-title-short&quot;:&quot;Ecol. Indic.&quot;,&quot;DOI&quot;:&quot;10.1016/j.ecolind.2023.109872&quot;,&quot;ISSN&quot;:&quot;1470160X&quot;,&quot;issued&quot;:{&quot;date-parts&quot;:[[2023,2,1]]},&quot;abstract&quot;:&quot;Synchronous fluorescence spectroscopy (SFS) combined with Gaussian band fitting, two-dimensional correlation (2D-COS) and perturbation-correlation moving-window two-dimensional (PCMW2D) can provide an excellent mothed to extract fluorescent components of dissolved organic matter (DOM) and reveal its variations in an urban river. Fifteen water samples were collected from the Anyanghe River, which flew across the town, urban, and rural regions. Five peaks (peak1 tyrosine-like, peak2 tyrosine-like, peak3 tryptophan-like, peak4 microbial humic-like, peak5 fulvic-like) were extracted using the Gaussian Amp model from the SFS in the river, while the peak1 only occurred in the rural region. The microbial humic-like in the town region accounting for 50.02 % was the representative substance. The tyrosine-like dominated in the rural regions, for its percentage range was 62.26 %-75.78 %. The average percnetage of tyrosine-like (29.77 %) in the urban region was similar to that of the tryptophan-like (21.86 %), microbial humic-like (25.56 %), and fulvic-like (22.82 %). Based on the two-dimensional correlation, the variation order of DOM fractions in the town and urban regions was tryptophan → tyrosine → microbial humic → fulvic, and the variation order in the rural region was tyrosine → tryptophan → microbial humic → fulvic. This indicated that the changing trend of DOM fractions existed from the labile protein-like to the stable humus in the whole river. According to the perturbation-correlation moving-window two-dimensional correlation spectroscopy, the spectral intensity of tyrosine-like should be linear increase in the town and urban regions, and concave increase in the rural region. The spectral intensity trend of tryptophan-like mainly was linear increase in the whole river. And the intensity of microbial humic-like showed the rough convex increase in the whole river. The trend of the fulvic-like in the town and rural regions was similar to the microbial humic-like. However the fulvic-like intensity in the urban region exhibited a trend from the concave increase to the convex increase, which was obviously different from the tyrosine-like, tryptophan-like and microbial humic-like. This attribute that the untreated domestic sewage in the urban region could discharge into the river. Therefore, for small amounts of samples, the SFS combined with Gaussian band fitting, 2D-COS and PCMW2D can be used as a powerful tool to investigate fluorescent components of DOM, and reveal their variations along the river.&quot;,&quot;publisher&quot;:&quot;Elsevier B.V.&quot;,&quot;volume&quot;:&quot;146&quot;},&quot;isTemporary&quot;:false}]},{&quot;citationID&quot;:&quot;MENDELEY_CITATION_50a21f14-afb9-4d9c-aaba-50ad034434ed&quot;,&quot;properties&quot;:{&quot;noteIndex&quot;:0},&quot;isEdited&quot;:false,&quot;manualOverride&quot;:{&quot;isManuallyOverridden&quot;:false,&quot;citeprocText&quot;:&quot;(Surasinghe et al., 2020)&quot;,&quot;manualOverrideText&quot;:&quot;&quot;},&quot;citationTag&quot;:&quot;MENDELEY_CITATION_v3_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&quot;,&quot;citationItems&quot;:[{&quot;id&quot;:&quot;00d8fcf3-2afc-315d-b44c-ac2f0d410e56&quot;,&quot;itemData&quot;:{&quot;type&quot;:&quot;article-journal&quot;,&quot;id&quot;:&quot;00d8fcf3-2afc-315d-b44c-ac2f0d410e56&quot;,&quot;title&quot;:&quot;Challenges in biodiversity conservation in a highly modified tropical river basin in Sri Lanka&quot;,&quot;author&quot;:[{&quot;family&quot;:&quot;Surasinghe&quot;,&quot;given&quot;:&quot;Thilina&quot;,&quot;parse-names&quot;:false,&quot;dropping-particle&quot;:&quot;&quot;,&quot;non-dropping-particle&quot;:&quot;&quot;},{&quot;family&quot;:&quot;Kariyawasam&quot;,&quot;given&quot;:&quot;Ravindra&quot;,&quot;parse-names&quot;:false,&quot;dropping-particle&quot;:&quot;&quot;,&quot;non-dropping-particle&quot;:&quot;&quot;},{&quot;family&quot;:&quot;Sudasinghe&quot;,&quot;given&quot;:&quot;Hiranya&quot;,&quot;parse-names&quot;:false,&quot;dropping-particle&quot;:&quot;&quot;,&quot;non-dropping-particle&quot;:&quot;&quot;},{&quot;family&quot;:&quot;Karunarathna&quot;,&quot;given&quot;:&quot;Suranjan&quot;,&quot;parse-names&quot;:false,&quot;dropping-particle&quot;:&quot;&quot;,&quot;non-dropping-particle&quot;:&quot;&quot;}],&quot;container-title&quot;:&quot;Water (Switzerland)&quot;,&quot;DOI&quot;:&quot;10.3390/w12010026&quot;,&quot;ISSN&quot;:&quot;20734441&quot;,&quot;issued&quot;:{&quot;date-parts&quot;:[[2020,1,1]]},&quot;abstract&quot;:&quot;Kelani River is the fourth longest river in the South-Asian island, Sri Lanka. It originates from the central hills and flows through a diverse array of landscapes, including some of the most urbanized regions and intensive land uses. Kelani River suffers a multitude of environmental issues: illegal water diversions and extractions, impoundment for hydroelectricity generation, and pollution, mostly from agrochemicals, urban runoff, industrial discharges, and domestic waste. Moreover, loss of riparian forest cover, sand-mining, and unplanned development in floodplains have accentuated the environmental damage. In this study, based on Kelani River basin, we reviewed the status of biodiversity, threats encountered, conservation challenges, and provided guidance for science-based conservation planning. Kelani River basin is high in biodiversity and endemism, which includes 60 freshwater fish species of which 30 are endemic. Urbanization related threats are more severe in the middle and lower reaches while agriculture and impoundments peril the river in upper reaches. Documentation of these threats can be dated back to 1980, yet, Sri Lankan government has failed to take substantial actions for sustainable management of Kelani River basin, despite the presence of nearly 50 legislations pertaining to water and land management. Given high biodiversity richness, human dependency, and evident ecological deterioration, Kelani River basin should be prioritized for biodiversity conservation and sustainable resource management. Conservation and wise use of freshwater resources is a global concern, particularly for developing nations in Asia. Therefore, our review and guidance for scientifically informed conservation would serve as a prototype for basin-wide river management for Sri Lanka as well as for other developing nations of tropical Asia.&quot;,&quot;publisher&quot;:&quot;MDPI AG&quot;,&quot;issue&quot;:&quot;1&quot;,&quot;volume&quot;:&quot;12&quot;,&quot;container-title-short&quot;:&quot;&quot;},&quot;isTemporary&quot;:false}]},{&quot;citationID&quot;:&quot;MENDELEY_CITATION_5e76817b-8180-4a8d-8244-8d8284997acd&quot;,&quot;properties&quot;:{&quot;noteIndex&quot;:0},&quot;isEdited&quot;:false,&quot;manualOverride&quot;:{&quot;isManuallyOverridden&quot;:false,&quot;citeprocText&quot;:&quot;(Peng et al., 2020)&quot;,&quot;manualOverrideText&quot;:&quot;&quot;},&quot;citationTag&quot;:&quot;MENDELEY_CITATION_v3_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&quot;,&quot;citationItems&quot;:[{&quot;id&quot;:&quot;68d61dea-667e-3d02-aa7c-f9788693a581&quot;,&quot;itemData&quot;:{&quot;type&quot;:&quot;article-journal&quot;,&quot;id&quot;:&quot;68d61dea-667e-3d02-aa7c-f9788693a581&quot;,&quot;title&quot;:&quot;Fluorescence regional integration combined with parallel factor analysis to quantify fluorescencent spectra for dissolved organic matter released from manure biochars&quot;,&quot;author&quot;:[{&quot;family&quot;:&quot;Peng&quot;,&quot;given&quot;:&quot;Na&quot;,&quot;parse-names&quot;:false,&quot;dropping-particle&quot;:&quot;&quot;,&quot;non-dropping-particle&quot;:&quot;&quot;},{&quot;family&quot;:&quot;Wang&quot;,&quot;given&quot;:&quot;Kaifeng&quot;,&quot;parse-names&quot;:false,&quot;dropping-particle&quot;:&quot;&quot;,&quot;non-dropping-particle&quot;:&quot;&quot;},{&quot;family&quot;:&quot;Tu&quot;,&quot;given&quot;:&quot;Ningyu&quot;,&quot;parse-names&quot;:false,&quot;dropping-particle&quot;:&quot;&quot;,&quot;non-dropping-particle&quot;:&quot;&quot;},{&quot;family&quot;:&quot;Liu&quot;,&quot;given&quot;:&quot;Yang&quot;,&quot;parse-names&quot;:false,&quot;dropping-particle&quot;:&quot;&quot;,&quot;non-dropping-particle&quot;:&quot;&quot;},{&quot;family&quot;:&quot;Li&quot;,&quot;given&quot;:&quot;Zhuanling&quot;,&quot;parse-names&quot;:false,&quot;dropping-particle&quot;:&quot;&quot;,&quot;non-dropping-particle&quot;:&quot;&quot;}],&quot;container-title&quot;:&quot;RSC Advances&quot;,&quot;container-title-short&quot;:&quot;RSC Adv.&quot;,&quot;DOI&quot;:&quot;10.1039/d0ra02706e&quot;,&quot;ISSN&quot;:&quot;20462069&quot;,&quot;issued&quot;:{&quot;date-parts&quot;:[[2020,8,26]]},&quot;page&quot;:&quot;31502-31510&quot;,&quot;abstract&quot;:&quot;Dissolved Organic Matter (DOM) in biochars is important to carbon dynamics and contaminant transport in soils. Fluorescence excitation-emission matrices (EEMs) have been widely used to characterize dissolved organic matter (DOM). In this study, fluorescence regional integration (FRI) and parallel factor analysis (PARAFAC) applied to EEM allows good quantitative assessment of the composition of DOM derived from manure biochars. Manure biochars were produced using four types of manure, chicken, pig, cow, and sheep manure under various pyrolysis temperatures (300-600 °C) and holding times (0-120 min). The results from the determination of dissolved organic carbon (DOC), SUVA254, and humification index (HIX) reflected that high pyrolysis temperature and long holding time led to a significant decrease in DOM quantity, aromaticity and humification. The FRI result showed that the pyrolysis process of DOM released from manure biochars included three changes, aromatic protein-like substance and microbial by-product-like substance generation (300-600 °C), fulvic-acid like substance decomposition (300-500 °C) and humic acid-like substance decomposition (600 °C). The PARAFAC modeling result showed that the pyrolysis process of DOM released from manure biochars contained two changes: three high molecular-weight humic-like substances decomposition and a low molecular-weight humic-like substance generation. The effect of the holding time on biochar-DOM is more significant at higher pyrolysis temperatures than lower pyrolysis temperatures. The correlation analysis result revealed that the generation of aromatic proteins, microbial by-products and fulvic acid came from the decomposition of humic-like substances including marine humic-like, UVA humic-like, and UVC + UVA humic-like substances. The results obtained in this study would be beneficial to guide the rational production and application of manure biochars.&quot;,&quot;publisher&quot;:&quot;Royal Society of Chemistry&quot;,&quot;issue&quot;:&quot;52&quot;,&quot;volume&quot;:&quot;10&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17DEA29B-FF69-4536-99C4-EC0CFA23934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Pages>
  <Words>1678</Words>
  <Characters>9565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Ashen Randika</dc:creator>
  <cp:lastModifiedBy>Ashen Randika</cp:lastModifiedBy>
  <cp:revision>55</cp:revision>
  <dcterms:created xsi:type="dcterms:W3CDTF">2026-01-15T15:24:00Z</dcterms:created>
  <dcterms:modified xsi:type="dcterms:W3CDTF">2026-01-16T11:22:00Z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eyJoZGlkIjoiOWEwYWJhNDQ5NjVlMmZhNjdjZGM1ZmRhYzhhZGJlMzIiLCJ1c2VySWQiOiIzMjEwMTY2NDgifQ==</vt:lpwstr>
  </property>
  <property fmtid="{D5CDD505-2E9C-101B-9397-08002B2CF9AE}" pid="3" name="KSOProductBuildVer">
    <vt:lpwstr>2052-12.1.0.24034</vt:lpwstr>
  </property>
  <property fmtid="{D5CDD505-2E9C-101B-9397-08002B2CF9AE}" pid="4" name="ICV">
    <vt:lpwstr>79FF591EA8B0443A9C5BFC216F88170B_13</vt:lpwstr>
  </property>
</Properties>
</file>