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F65297" w14:textId="77777777" w:rsidR="00163D6E" w:rsidRDefault="00163D6E">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autoSpaceDE w:val="0"/>
        <w:autoSpaceDN w:val="0"/>
        <w:adjustRightInd w:val="0"/>
        <w:jc w:val="center"/>
        <w:outlineLvl w:val="0"/>
        <w:rPr>
          <w:rFonts w:ascii="Helvetica" w:hAnsi="Helvetica" w:cs="Helvetica"/>
          <w:color w:val="000000"/>
          <w:kern w:val="36"/>
          <w:sz w:val="28"/>
          <w:szCs w:val="28"/>
        </w:rPr>
      </w:pPr>
      <w:r>
        <w:rPr>
          <w:rFonts w:ascii="Helvetica" w:hAnsi="Helvetica" w:cs="Helvetica" w:hint="eastAsia"/>
          <w:color w:val="000000"/>
          <w:kern w:val="36"/>
          <w:sz w:val="28"/>
          <w:szCs w:val="28"/>
          <w:lang w:val="en-GB" w:eastAsia="en-US"/>
        </w:rPr>
        <w:t>Abstract Title</w:t>
      </w:r>
    </w:p>
    <w:p w14:paraId="739107D7" w14:textId="48120043" w:rsidR="00973FF4" w:rsidRPr="005D0A35" w:rsidRDefault="004A03FC" w:rsidP="005D0A35">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autoSpaceDE w:val="0"/>
        <w:autoSpaceDN w:val="0"/>
        <w:adjustRightInd w:val="0"/>
        <w:spacing w:line="300" w:lineRule="auto"/>
        <w:rPr>
          <w:rFonts w:ascii="Arial" w:eastAsia="等线" w:hAnsi="Arial" w:cs="Arial"/>
          <w:bCs/>
          <w:kern w:val="0"/>
          <w:sz w:val="18"/>
          <w:szCs w:val="18"/>
          <w:lang w:val="en-GB"/>
        </w:rPr>
      </w:pPr>
      <w:r w:rsidRPr="004A03FC">
        <w:rPr>
          <w:color w:val="000000"/>
          <w:sz w:val="24"/>
        </w:rPr>
        <w:t>Modulating divalent ions and disinfectants to curb pathogen proliferation in DWDS biofilms</w:t>
      </w:r>
    </w:p>
    <w:p w14:paraId="4953AD93" w14:textId="77777777" w:rsidR="00973FF4" w:rsidRDefault="00973FF4" w:rsidP="00973FF4">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beforeLines="50" w:before="156" w:afterLines="50" w:after="156"/>
        <w:ind w:right="851"/>
        <w:outlineLvl w:val="0"/>
        <w:rPr>
          <w:rFonts w:ascii="Arial" w:eastAsia="等线" w:hAnsi="Arial" w:cs="Arial"/>
          <w:b/>
          <w:bCs/>
          <w:kern w:val="0"/>
          <w:sz w:val="24"/>
        </w:rPr>
      </w:pPr>
      <w:r w:rsidRPr="00973FF4">
        <w:rPr>
          <w:rFonts w:ascii="Arial" w:eastAsia="等线" w:hAnsi="Arial" w:cs="Arial"/>
          <w:b/>
          <w:bCs/>
          <w:kern w:val="0"/>
          <w:sz w:val="24"/>
        </w:rPr>
        <w:t>Authors</w:t>
      </w:r>
    </w:p>
    <w:p w14:paraId="2856F59C" w14:textId="44612DE8" w:rsidR="00973FF4" w:rsidRDefault="00D8446D" w:rsidP="005D0A35">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line="300" w:lineRule="auto"/>
        <w:outlineLvl w:val="0"/>
        <w:rPr>
          <w:rFonts w:eastAsia="等线"/>
          <w:bCs/>
          <w:kern w:val="0"/>
          <w:sz w:val="24"/>
        </w:rPr>
      </w:pPr>
      <w:proofErr w:type="spellStart"/>
      <w:r w:rsidRPr="00D8446D">
        <w:rPr>
          <w:rFonts w:eastAsia="等线"/>
          <w:bCs/>
          <w:kern w:val="0"/>
          <w:sz w:val="24"/>
        </w:rPr>
        <w:t>Tanghao</w:t>
      </w:r>
      <w:proofErr w:type="spellEnd"/>
      <w:r w:rsidRPr="00D8446D">
        <w:rPr>
          <w:rFonts w:eastAsia="等线"/>
          <w:bCs/>
          <w:kern w:val="0"/>
          <w:sz w:val="24"/>
        </w:rPr>
        <w:t xml:space="preserve"> Liu, Xiaohui Bai* (* indicates Corresponding Author)</w:t>
      </w:r>
      <w:r w:rsidRPr="00D8446D">
        <w:rPr>
          <w:rFonts w:eastAsia="等线"/>
          <w:bCs/>
          <w:kern w:val="0"/>
          <w:sz w:val="24"/>
        </w:rPr>
        <w:br/>
        <w:t>(State Key Laboratory of Microbial Metabolism, School of Life Sciences and Biotechnology, Shanghai Jiao Tong University, Shanghai 200240, China)</w:t>
      </w:r>
    </w:p>
    <w:p w14:paraId="351FF667" w14:textId="77777777" w:rsidR="00D8446D" w:rsidRPr="00D8446D" w:rsidRDefault="00D8446D" w:rsidP="00D8446D">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line="300" w:lineRule="auto"/>
        <w:outlineLvl w:val="0"/>
        <w:rPr>
          <w:rFonts w:eastAsia="等线"/>
          <w:bCs/>
          <w:kern w:val="0"/>
          <w:sz w:val="24"/>
        </w:rPr>
      </w:pPr>
      <w:r w:rsidRPr="00D8446D">
        <w:rPr>
          <w:rFonts w:eastAsia="等线"/>
          <w:b/>
          <w:bCs/>
          <w:kern w:val="0"/>
          <w:sz w:val="24"/>
        </w:rPr>
        <w:t>Presenting Author:</w:t>
      </w:r>
      <w:r w:rsidRPr="00D8446D">
        <w:rPr>
          <w:rFonts w:eastAsia="等线"/>
          <w:bCs/>
          <w:kern w:val="0"/>
          <w:sz w:val="24"/>
        </w:rPr>
        <w:t> Tanghao Liu</w:t>
      </w:r>
    </w:p>
    <w:p w14:paraId="47D9BEE5" w14:textId="2BBBA798" w:rsidR="00D8446D" w:rsidRPr="00973FF4" w:rsidRDefault="00D8446D" w:rsidP="005D0A35">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line="300" w:lineRule="auto"/>
        <w:outlineLvl w:val="0"/>
        <w:rPr>
          <w:rFonts w:eastAsia="等线"/>
          <w:bCs/>
          <w:kern w:val="0"/>
          <w:sz w:val="24"/>
        </w:rPr>
      </w:pPr>
      <w:r w:rsidRPr="00D8446D">
        <w:rPr>
          <w:rFonts w:eastAsia="等线"/>
          <w:b/>
          <w:bCs/>
          <w:kern w:val="0"/>
          <w:sz w:val="24"/>
        </w:rPr>
        <w:t>Keywords:</w:t>
      </w:r>
      <w:r w:rsidRPr="00D8446D">
        <w:rPr>
          <w:rFonts w:eastAsia="等线"/>
          <w:bCs/>
          <w:kern w:val="0"/>
          <w:sz w:val="24"/>
        </w:rPr>
        <w:t> Drinking water distribution system; Biofilm; Type VI secretion system (T6SS); Microbial competition; Pathogen persistence</w:t>
      </w:r>
    </w:p>
    <w:p w14:paraId="79BA18BF" w14:textId="77777777" w:rsidR="00163D6E" w:rsidRDefault="00163D6E">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beforeLines="50" w:before="156" w:afterLines="50" w:after="156"/>
        <w:ind w:right="851"/>
        <w:outlineLvl w:val="0"/>
        <w:rPr>
          <w:rFonts w:ascii="Arial" w:hAnsi="Arial" w:cs="Arial"/>
          <w:b/>
          <w:bCs/>
          <w:sz w:val="24"/>
        </w:rPr>
      </w:pPr>
      <w:bookmarkStart w:id="0" w:name="_Hlk219284847"/>
      <w:r>
        <w:rPr>
          <w:rFonts w:ascii="Arial" w:hAnsi="Arial" w:cs="Arial"/>
          <w:b/>
          <w:bCs/>
          <w:sz w:val="24"/>
        </w:rPr>
        <w:t>Introduction</w:t>
      </w:r>
      <w:bookmarkEnd w:id="0"/>
    </w:p>
    <w:p w14:paraId="27367B6A" w14:textId="15D3D2D9" w:rsidR="005D0A35" w:rsidRPr="005D0A35" w:rsidRDefault="00D8446D" w:rsidP="001E3D8F">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line="300" w:lineRule="auto"/>
        <w:ind w:firstLineChars="200" w:firstLine="480"/>
        <w:outlineLvl w:val="0"/>
        <w:rPr>
          <w:color w:val="000000"/>
          <w:sz w:val="24"/>
        </w:rPr>
      </w:pPr>
      <w:r w:rsidRPr="00D8446D">
        <w:rPr>
          <w:color w:val="000000"/>
          <w:sz w:val="24"/>
        </w:rPr>
        <w:t xml:space="preserve">Biofilms in drinking water distribution systems (DWDS) are critical reservoirs for microorganisms, yet the interspecies interactions governing their assembly under fluctuating water quality remain poorly understood. The Type VI Secretion System (T6SS), a contact-dependent bacterial weapon, is hypothesized to be a key mediator. </w:t>
      </w:r>
      <w:r w:rsidR="002A3005">
        <w:rPr>
          <w:rFonts w:hint="eastAsia"/>
          <w:color w:val="000000"/>
          <w:sz w:val="24"/>
        </w:rPr>
        <w:t>W</w:t>
      </w:r>
      <w:r w:rsidRPr="00D8446D">
        <w:rPr>
          <w:color w:val="000000"/>
          <w:sz w:val="24"/>
        </w:rPr>
        <w:t xml:space="preserve">ater constituents like divalent ions (Ca²⁺, Mg²⁺) and residual disinfectants (e.g., chlorine) are established T6SS activators in complex </w:t>
      </w:r>
      <w:r w:rsidR="002A3005">
        <w:rPr>
          <w:rFonts w:hint="eastAsia"/>
          <w:color w:val="000000"/>
          <w:sz w:val="24"/>
        </w:rPr>
        <w:t xml:space="preserve">water </w:t>
      </w:r>
      <w:r w:rsidRPr="00D8446D">
        <w:rPr>
          <w:color w:val="000000"/>
          <w:sz w:val="24"/>
        </w:rPr>
        <w:t xml:space="preserve">environments. This study investigates whether these factors similarly drive T6SS-mediated competition within DWDS biofilms, influencing pathogen colonization and downstream shedding, thereby posing a hidden microbial risk specific to water </w:t>
      </w:r>
      <w:r w:rsidR="002A3005">
        <w:rPr>
          <w:rFonts w:hint="eastAsia"/>
          <w:color w:val="000000"/>
          <w:sz w:val="24"/>
        </w:rPr>
        <w:t xml:space="preserve">supply </w:t>
      </w:r>
      <w:r w:rsidRPr="00D8446D">
        <w:rPr>
          <w:color w:val="000000"/>
          <w:sz w:val="24"/>
        </w:rPr>
        <w:t>systems.</w:t>
      </w:r>
    </w:p>
    <w:p w14:paraId="4C364B93" w14:textId="00285AF8" w:rsidR="00163D6E" w:rsidRDefault="00163D6E">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beforeLines="50" w:before="156" w:afterLines="50" w:after="156"/>
        <w:ind w:right="851"/>
        <w:outlineLvl w:val="0"/>
        <w:rPr>
          <w:rFonts w:ascii="Arial" w:hAnsi="Arial" w:cs="Arial"/>
          <w:b/>
          <w:bCs/>
          <w:sz w:val="24"/>
        </w:rPr>
      </w:pPr>
      <w:r>
        <w:rPr>
          <w:rFonts w:ascii="Arial" w:hAnsi="Arial" w:cs="Arial" w:hint="eastAsia"/>
          <w:b/>
          <w:bCs/>
          <w:sz w:val="24"/>
        </w:rPr>
        <w:t xml:space="preserve">Materials and </w:t>
      </w:r>
      <w:r>
        <w:rPr>
          <w:rFonts w:ascii="Arial" w:hAnsi="Arial" w:cs="Arial"/>
          <w:b/>
          <w:bCs/>
          <w:sz w:val="24"/>
        </w:rPr>
        <w:t>Methods</w:t>
      </w:r>
    </w:p>
    <w:p w14:paraId="5915F4DE" w14:textId="0FED4A38" w:rsidR="005D0A35" w:rsidRPr="005D0A35" w:rsidRDefault="009709AF" w:rsidP="001E3D8F">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line="300" w:lineRule="auto"/>
        <w:ind w:firstLineChars="200" w:firstLine="480"/>
        <w:outlineLvl w:val="0"/>
        <w:rPr>
          <w:color w:val="000000"/>
          <w:sz w:val="24"/>
        </w:rPr>
      </w:pPr>
      <w:r w:rsidRPr="009709AF">
        <w:rPr>
          <w:color w:val="000000"/>
          <w:sz w:val="24"/>
        </w:rPr>
        <w:t xml:space="preserve">We combined field surveys with long-term (up to 150 days) simulated pipe reactor experiments using end-use PPR pipes to replicate real plumbing conditions. Biofilms and water were analyzed from real municipal pipelines and lab reactors fed with different water types: </w:t>
      </w:r>
      <w:proofErr w:type="spellStart"/>
      <w:r w:rsidRPr="009709AF">
        <w:rPr>
          <w:color w:val="000000"/>
          <w:sz w:val="24"/>
        </w:rPr>
        <w:t>nanofiltered</w:t>
      </w:r>
      <w:proofErr w:type="spellEnd"/>
      <w:r w:rsidRPr="009709AF">
        <w:rPr>
          <w:color w:val="000000"/>
          <w:sz w:val="24"/>
        </w:rPr>
        <w:t xml:space="preserve"> water, reverse osmosis water, and tap water with varying ion/disinfectant profiles. We employed metagenomics and 16S rRNA sequencing to track community structure and T6SS gene abundance. Isogenic strains, including T6SS gene knockout mutants and their complemented counterparts of </w:t>
      </w:r>
      <w:r w:rsidRPr="009709AF">
        <w:rPr>
          <w:i/>
          <w:iCs/>
          <w:color w:val="000000"/>
          <w:sz w:val="24"/>
        </w:rPr>
        <w:t>Salmonella</w:t>
      </w:r>
      <w:r>
        <w:rPr>
          <w:rFonts w:hint="eastAsia"/>
          <w:color w:val="000000"/>
          <w:sz w:val="24"/>
        </w:rPr>
        <w:t>,</w:t>
      </w:r>
      <w:r w:rsidRPr="009709AF">
        <w:rPr>
          <w:color w:val="000000"/>
          <w:sz w:val="24"/>
        </w:rPr>
        <w:t> </w:t>
      </w:r>
      <w:r w:rsidRPr="009709AF">
        <w:rPr>
          <w:i/>
          <w:iCs/>
          <w:color w:val="000000"/>
          <w:sz w:val="24"/>
        </w:rPr>
        <w:t>E. coli</w:t>
      </w:r>
      <w:r>
        <w:rPr>
          <w:rFonts w:hint="eastAsia"/>
          <w:color w:val="000000"/>
          <w:sz w:val="24"/>
        </w:rPr>
        <w:t xml:space="preserve"> and </w:t>
      </w:r>
      <w:r w:rsidRPr="009709AF">
        <w:rPr>
          <w:rFonts w:hint="eastAsia"/>
          <w:i/>
          <w:iCs/>
          <w:color w:val="000000"/>
          <w:sz w:val="24"/>
        </w:rPr>
        <w:t xml:space="preserve">P. </w:t>
      </w:r>
      <w:r w:rsidRPr="009709AF">
        <w:rPr>
          <w:i/>
          <w:iCs/>
          <w:color w:val="000000"/>
          <w:sz w:val="24"/>
        </w:rPr>
        <w:t>aeruginosa</w:t>
      </w:r>
      <w:r>
        <w:rPr>
          <w:rFonts w:hint="eastAsia"/>
          <w:color w:val="000000"/>
          <w:sz w:val="24"/>
        </w:rPr>
        <w:t>)</w:t>
      </w:r>
      <w:r w:rsidRPr="009709AF">
        <w:rPr>
          <w:color w:val="000000"/>
          <w:sz w:val="24"/>
        </w:rPr>
        <w:t xml:space="preserve">, were constructed and used for colonization and competition assays in mono- and dual-species biofilms. Key mechanisms were dissected using RT-qPCR, EPS (e.g., </w:t>
      </w:r>
      <w:proofErr w:type="spellStart"/>
      <w:r w:rsidRPr="009709AF">
        <w:rPr>
          <w:color w:val="000000"/>
          <w:sz w:val="24"/>
        </w:rPr>
        <w:t>colanic</w:t>
      </w:r>
      <w:proofErr w:type="spellEnd"/>
      <w:r w:rsidRPr="009709AF">
        <w:rPr>
          <w:color w:val="000000"/>
          <w:sz w:val="24"/>
        </w:rPr>
        <w:t xml:space="preserve"> acid) quantification, c-di-GMP measurement, oxidative stress assays, flow cytometry, and inductively coupled plasma mass spectrometry (ICP-MS) for precise quantification of key ion concentrations.</w:t>
      </w:r>
    </w:p>
    <w:p w14:paraId="067DCCCF" w14:textId="70BE8C36" w:rsidR="00163D6E" w:rsidRDefault="00163D6E">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beforeLines="50" w:before="156" w:afterLines="50" w:after="156"/>
        <w:ind w:right="851"/>
        <w:outlineLvl w:val="0"/>
        <w:rPr>
          <w:rFonts w:ascii="Arial" w:hAnsi="Arial" w:cs="Arial"/>
          <w:b/>
          <w:bCs/>
          <w:sz w:val="24"/>
        </w:rPr>
      </w:pPr>
      <w:r>
        <w:rPr>
          <w:rFonts w:ascii="Arial" w:hAnsi="Arial" w:cs="Arial"/>
          <w:b/>
          <w:bCs/>
          <w:sz w:val="24"/>
        </w:rPr>
        <w:t>Results</w:t>
      </w:r>
      <w:r>
        <w:rPr>
          <w:rFonts w:ascii="Arial" w:hAnsi="Arial" w:cs="Arial" w:hint="eastAsia"/>
          <w:b/>
          <w:bCs/>
          <w:sz w:val="24"/>
        </w:rPr>
        <w:t xml:space="preserve"> and Discussion</w:t>
      </w:r>
    </w:p>
    <w:p w14:paraId="60E56708" w14:textId="7599C8CF" w:rsidR="009709AF" w:rsidRPr="009709AF" w:rsidRDefault="009709AF" w:rsidP="009709AF">
      <w:pPr>
        <w:adjustRightInd w:val="0"/>
        <w:snapToGrid w:val="0"/>
        <w:spacing w:line="300" w:lineRule="auto"/>
        <w:ind w:firstLineChars="200" w:firstLine="480"/>
        <w:rPr>
          <w:color w:val="0F1115"/>
          <w:sz w:val="24"/>
          <w:shd w:val="clear" w:color="auto" w:fill="FFFFFF"/>
        </w:rPr>
      </w:pPr>
      <w:r w:rsidRPr="009709AF">
        <w:rPr>
          <w:color w:val="0F1115"/>
          <w:sz w:val="24"/>
          <w:shd w:val="clear" w:color="auto" w:fill="FFFFFF"/>
        </w:rPr>
        <w:lastRenderedPageBreak/>
        <w:t xml:space="preserve">DWDS </w:t>
      </w:r>
      <w:r>
        <w:rPr>
          <w:rFonts w:hint="eastAsia"/>
          <w:color w:val="0F1115"/>
          <w:sz w:val="24"/>
          <w:shd w:val="clear" w:color="auto" w:fill="FFFFFF"/>
        </w:rPr>
        <w:t>b</w:t>
      </w:r>
      <w:r w:rsidRPr="009709AF">
        <w:rPr>
          <w:color w:val="0F1115"/>
          <w:sz w:val="24"/>
          <w:shd w:val="clear" w:color="auto" w:fill="FFFFFF"/>
        </w:rPr>
        <w:t xml:space="preserve">iofilms are </w:t>
      </w:r>
      <w:r>
        <w:rPr>
          <w:rFonts w:hint="eastAsia"/>
          <w:color w:val="0F1115"/>
          <w:sz w:val="24"/>
          <w:shd w:val="clear" w:color="auto" w:fill="FFFFFF"/>
        </w:rPr>
        <w:t>h</w:t>
      </w:r>
      <w:r w:rsidRPr="009709AF">
        <w:rPr>
          <w:color w:val="0F1115"/>
          <w:sz w:val="24"/>
          <w:shd w:val="clear" w:color="auto" w:fill="FFFFFF"/>
        </w:rPr>
        <w:t xml:space="preserve">otspots for T6SS </w:t>
      </w:r>
      <w:r>
        <w:rPr>
          <w:rFonts w:hint="eastAsia"/>
          <w:color w:val="0F1115"/>
          <w:sz w:val="24"/>
          <w:shd w:val="clear" w:color="auto" w:fill="FFFFFF"/>
        </w:rPr>
        <w:t>h</w:t>
      </w:r>
      <w:r w:rsidRPr="009709AF">
        <w:rPr>
          <w:color w:val="0F1115"/>
          <w:sz w:val="24"/>
          <w:shd w:val="clear" w:color="auto" w:fill="FFFFFF"/>
        </w:rPr>
        <w:t xml:space="preserve">osts: Metagenomic analysis of field samples revealed a selective enrichment of T6SS-encoding pathogens (e.g., </w:t>
      </w:r>
      <w:r w:rsidRPr="009709AF">
        <w:rPr>
          <w:i/>
          <w:iCs/>
          <w:color w:val="0F1115"/>
          <w:sz w:val="24"/>
          <w:shd w:val="clear" w:color="auto" w:fill="FFFFFF"/>
        </w:rPr>
        <w:t>Salmonella</w:t>
      </w:r>
      <w:r w:rsidRPr="009709AF">
        <w:rPr>
          <w:color w:val="0F1115"/>
          <w:sz w:val="24"/>
          <w:shd w:val="clear" w:color="auto" w:fill="FFFFFF"/>
        </w:rPr>
        <w:t xml:space="preserve">, </w:t>
      </w:r>
      <w:r w:rsidRPr="009709AF">
        <w:rPr>
          <w:i/>
          <w:iCs/>
          <w:color w:val="0F1115"/>
          <w:sz w:val="24"/>
          <w:shd w:val="clear" w:color="auto" w:fill="FFFFFF"/>
        </w:rPr>
        <w:t>P</w:t>
      </w:r>
      <w:r w:rsidRPr="009709AF">
        <w:rPr>
          <w:rFonts w:hint="eastAsia"/>
          <w:i/>
          <w:iCs/>
          <w:color w:val="0F1115"/>
          <w:sz w:val="24"/>
          <w:shd w:val="clear" w:color="auto" w:fill="FFFFFF"/>
        </w:rPr>
        <w:t>.</w:t>
      </w:r>
      <w:r w:rsidRPr="009709AF">
        <w:rPr>
          <w:i/>
          <w:iCs/>
          <w:color w:val="0F1115"/>
          <w:sz w:val="24"/>
          <w:shd w:val="clear" w:color="auto" w:fill="FFFFFF"/>
        </w:rPr>
        <w:t xml:space="preserve"> aeruginosa</w:t>
      </w:r>
      <w:r w:rsidRPr="009709AF">
        <w:rPr>
          <w:color w:val="0F1115"/>
          <w:sz w:val="24"/>
          <w:shd w:val="clear" w:color="auto" w:fill="FFFFFF"/>
        </w:rPr>
        <w:t>) in biofilms compared to bulk water.</w:t>
      </w:r>
    </w:p>
    <w:p w14:paraId="53A9D8B7" w14:textId="4A0E0A49" w:rsidR="009709AF" w:rsidRPr="009709AF" w:rsidRDefault="009709AF" w:rsidP="009709AF">
      <w:pPr>
        <w:adjustRightInd w:val="0"/>
        <w:snapToGrid w:val="0"/>
        <w:spacing w:line="300" w:lineRule="auto"/>
        <w:ind w:firstLineChars="200" w:firstLine="480"/>
        <w:rPr>
          <w:color w:val="0F1115"/>
          <w:sz w:val="24"/>
          <w:shd w:val="clear" w:color="auto" w:fill="FFFFFF"/>
        </w:rPr>
      </w:pPr>
      <w:r w:rsidRPr="009709AF">
        <w:rPr>
          <w:color w:val="0F1115"/>
          <w:sz w:val="24"/>
          <w:shd w:val="clear" w:color="auto" w:fill="FFFFFF"/>
        </w:rPr>
        <w:t xml:space="preserve">Tap </w:t>
      </w:r>
      <w:r>
        <w:rPr>
          <w:rFonts w:hint="eastAsia"/>
          <w:color w:val="0F1115"/>
          <w:sz w:val="24"/>
          <w:shd w:val="clear" w:color="auto" w:fill="FFFFFF"/>
        </w:rPr>
        <w:t>w</w:t>
      </w:r>
      <w:r w:rsidRPr="009709AF">
        <w:rPr>
          <w:color w:val="0F1115"/>
          <w:sz w:val="24"/>
          <w:shd w:val="clear" w:color="auto" w:fill="FFFFFF"/>
        </w:rPr>
        <w:t xml:space="preserve">ater </w:t>
      </w:r>
      <w:r>
        <w:rPr>
          <w:rFonts w:hint="eastAsia"/>
          <w:color w:val="0F1115"/>
          <w:sz w:val="24"/>
          <w:shd w:val="clear" w:color="auto" w:fill="FFFFFF"/>
        </w:rPr>
        <w:t>s</w:t>
      </w:r>
      <w:r w:rsidRPr="009709AF">
        <w:rPr>
          <w:color w:val="0F1115"/>
          <w:sz w:val="24"/>
          <w:shd w:val="clear" w:color="auto" w:fill="FFFFFF"/>
        </w:rPr>
        <w:t xml:space="preserve">ynergistically </w:t>
      </w:r>
      <w:r>
        <w:rPr>
          <w:rFonts w:hint="eastAsia"/>
          <w:color w:val="0F1115"/>
          <w:sz w:val="24"/>
          <w:shd w:val="clear" w:color="auto" w:fill="FFFFFF"/>
        </w:rPr>
        <w:t>a</w:t>
      </w:r>
      <w:r w:rsidRPr="009709AF">
        <w:rPr>
          <w:color w:val="0F1115"/>
          <w:sz w:val="24"/>
          <w:shd w:val="clear" w:color="auto" w:fill="FFFFFF"/>
        </w:rPr>
        <w:t>ctivates T6SS: The ionic composition (Ca²⁺/Mg²⁺) and residual chlorine in tap water acted as synergistic signals to activate T6SS in Salmonella, conferring a decisive competitive advantage for biofilm colonization on PPR surfaces. T6SS activity peaked around day 20, correlating with increased pathogen shedding into the water phase, primarily from biofilm detachment rather than planktonic growth.</w:t>
      </w:r>
    </w:p>
    <w:p w14:paraId="31E82AD4" w14:textId="797B1FBA" w:rsidR="009709AF" w:rsidRPr="005A4349" w:rsidRDefault="005A4349" w:rsidP="009709AF">
      <w:pPr>
        <w:adjustRightInd w:val="0"/>
        <w:snapToGrid w:val="0"/>
        <w:spacing w:line="300" w:lineRule="auto"/>
        <w:ind w:firstLineChars="200" w:firstLine="480"/>
        <w:rPr>
          <w:color w:val="0F1115"/>
          <w:sz w:val="24"/>
          <w:shd w:val="clear" w:color="auto" w:fill="FFFFFF"/>
        </w:rPr>
      </w:pPr>
      <w:r w:rsidRPr="005A4349">
        <w:rPr>
          <w:color w:val="0F1115"/>
          <w:sz w:val="24"/>
          <w:shd w:val="clear" w:color="auto" w:fill="FFFFFF"/>
        </w:rPr>
        <w:t xml:space="preserve">Biofilm Maturity Modulates T6SS Impact: As biofilms matured, increased production of extracellular polymeric substances (EPS), particularly </w:t>
      </w:r>
      <w:proofErr w:type="spellStart"/>
      <w:r w:rsidRPr="005A4349">
        <w:rPr>
          <w:color w:val="0F1115"/>
          <w:sz w:val="24"/>
          <w:shd w:val="clear" w:color="auto" w:fill="FFFFFF"/>
        </w:rPr>
        <w:t>colanic</w:t>
      </w:r>
      <w:proofErr w:type="spellEnd"/>
      <w:r w:rsidRPr="005A4349">
        <w:rPr>
          <w:color w:val="0F1115"/>
          <w:sz w:val="24"/>
          <w:shd w:val="clear" w:color="auto" w:fill="FFFFFF"/>
        </w:rPr>
        <w:t xml:space="preserve"> acid synthesized by prey bacteria or other susceptible biofilm members, physically shielded cells and dampened T6SS-mediated killing. This defensive EPS synthesis was itself upregulated in response to T6SS activity and tap water conditions, indicating an adaptive feedback loop that eventually contributes to community stabilization.</w:t>
      </w:r>
    </w:p>
    <w:p w14:paraId="6349B039" w14:textId="5C06BA6E" w:rsidR="00163D6E" w:rsidRPr="001E3D8F" w:rsidRDefault="009709AF" w:rsidP="009709AF">
      <w:pPr>
        <w:adjustRightInd w:val="0"/>
        <w:snapToGrid w:val="0"/>
        <w:spacing w:line="300" w:lineRule="auto"/>
        <w:ind w:firstLineChars="200" w:firstLine="480"/>
        <w:rPr>
          <w:color w:val="000000"/>
          <w:sz w:val="24"/>
        </w:rPr>
      </w:pPr>
      <w:r w:rsidRPr="009709AF">
        <w:rPr>
          <w:color w:val="0F1115"/>
          <w:sz w:val="24"/>
          <w:shd w:val="clear" w:color="auto" w:fill="FFFFFF"/>
        </w:rPr>
        <w:t xml:space="preserve">Water </w:t>
      </w:r>
      <w:r>
        <w:rPr>
          <w:rFonts w:hint="eastAsia"/>
          <w:color w:val="0F1115"/>
          <w:sz w:val="24"/>
          <w:shd w:val="clear" w:color="auto" w:fill="FFFFFF"/>
        </w:rPr>
        <w:t>q</w:t>
      </w:r>
      <w:r w:rsidRPr="009709AF">
        <w:rPr>
          <w:color w:val="0F1115"/>
          <w:sz w:val="24"/>
          <w:shd w:val="clear" w:color="auto" w:fill="FFFFFF"/>
        </w:rPr>
        <w:t xml:space="preserve">uality </w:t>
      </w:r>
      <w:r>
        <w:rPr>
          <w:rFonts w:hint="eastAsia"/>
          <w:color w:val="0F1115"/>
          <w:sz w:val="24"/>
          <w:shd w:val="clear" w:color="auto" w:fill="FFFFFF"/>
        </w:rPr>
        <w:t>d</w:t>
      </w:r>
      <w:r w:rsidRPr="009709AF">
        <w:rPr>
          <w:color w:val="0F1115"/>
          <w:sz w:val="24"/>
          <w:shd w:val="clear" w:color="auto" w:fill="FFFFFF"/>
        </w:rPr>
        <w:t xml:space="preserve">etermines </w:t>
      </w:r>
      <w:r>
        <w:rPr>
          <w:rFonts w:hint="eastAsia"/>
          <w:color w:val="0F1115"/>
          <w:sz w:val="24"/>
          <w:shd w:val="clear" w:color="auto" w:fill="FFFFFF"/>
        </w:rPr>
        <w:t>o</w:t>
      </w:r>
      <w:r w:rsidRPr="009709AF">
        <w:rPr>
          <w:color w:val="0F1115"/>
          <w:sz w:val="24"/>
          <w:shd w:val="clear" w:color="auto" w:fill="FFFFFF"/>
        </w:rPr>
        <w:t xml:space="preserve">utcomes: Switching the supply to </w:t>
      </w:r>
      <w:proofErr w:type="spellStart"/>
      <w:r w:rsidRPr="009709AF">
        <w:rPr>
          <w:color w:val="0F1115"/>
          <w:sz w:val="24"/>
          <w:shd w:val="clear" w:color="auto" w:fill="FFFFFF"/>
        </w:rPr>
        <w:t>nanofiltered</w:t>
      </w:r>
      <w:proofErr w:type="spellEnd"/>
      <w:r w:rsidRPr="009709AF">
        <w:rPr>
          <w:color w:val="0F1115"/>
          <w:sz w:val="24"/>
          <w:shd w:val="clear" w:color="auto" w:fill="FFFFFF"/>
        </w:rPr>
        <w:t xml:space="preserve"> water or using chloramine instead of free chlorine suppressed T6SS activation and pathogen persistence. Metagenomic tracking confirmed that tap water ions enriched genes related to EPS synthesis, c-di-GMP signaling, and T6SS, shaping the biofilm’s functional profile and evolutionary trajectory over time.</w:t>
      </w:r>
    </w:p>
    <w:p w14:paraId="1CFA7046" w14:textId="77777777" w:rsidR="00163D6E" w:rsidRDefault="00163D6E">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beforeLines="50" w:before="156" w:afterLines="50" w:after="156"/>
        <w:ind w:right="851"/>
        <w:outlineLvl w:val="0"/>
        <w:rPr>
          <w:rFonts w:ascii="Arial" w:hAnsi="Arial" w:cs="Arial"/>
          <w:b/>
          <w:bCs/>
          <w:sz w:val="24"/>
        </w:rPr>
      </w:pPr>
      <w:r>
        <w:rPr>
          <w:rFonts w:ascii="Arial" w:hAnsi="Arial" w:cs="Arial"/>
          <w:b/>
          <w:bCs/>
          <w:sz w:val="24"/>
        </w:rPr>
        <w:t>Conclusions</w:t>
      </w:r>
    </w:p>
    <w:p w14:paraId="4EB1E0AE" w14:textId="04423612" w:rsidR="00163D6E" w:rsidRPr="001E3D8F" w:rsidRDefault="005A4349" w:rsidP="001E3D8F">
      <w:pPr>
        <w:adjustRightInd w:val="0"/>
        <w:snapToGrid w:val="0"/>
        <w:spacing w:line="300" w:lineRule="auto"/>
        <w:ind w:firstLineChars="200" w:firstLine="480"/>
        <w:rPr>
          <w:color w:val="000000"/>
          <w:sz w:val="24"/>
        </w:rPr>
      </w:pPr>
      <w:r w:rsidRPr="005A4349">
        <w:rPr>
          <w:color w:val="000000"/>
          <w:sz w:val="24"/>
        </w:rPr>
        <w:t>This study establishes that ions</w:t>
      </w:r>
      <w:r w:rsidR="008668D8">
        <w:rPr>
          <w:rFonts w:hint="eastAsia"/>
          <w:color w:val="000000"/>
          <w:sz w:val="24"/>
        </w:rPr>
        <w:t xml:space="preserve"> and</w:t>
      </w:r>
      <w:r w:rsidRPr="005A4349">
        <w:rPr>
          <w:color w:val="000000"/>
          <w:sz w:val="24"/>
        </w:rPr>
        <w:t xml:space="preserve"> disinfectants are pivotal environmental cues that modulate T6SS-mediated microbial warfare within DWDS biofilms. This hidden interaction influences pathogen colonization, biofilm resilience, and downstream shedding risk. Our findings propose a novel, mechanism-based strategy for microbial risk control: optimizing water mineral composition and disinfectant choice can specifically suppress virulence mechanisms like T6SS, enhancing the biological stability of drinking water alongside traditional chemical safety goals.</w:t>
      </w:r>
    </w:p>
    <w:p w14:paraId="19055658" w14:textId="77777777" w:rsidR="00163D6E" w:rsidRDefault="00163D6E">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beforeLines="50" w:before="156" w:afterLines="50" w:after="156"/>
        <w:ind w:right="851"/>
        <w:outlineLvl w:val="0"/>
        <w:rPr>
          <w:rFonts w:ascii="Arial" w:hAnsi="Arial" w:cs="Arial"/>
          <w:b/>
          <w:bCs/>
          <w:sz w:val="24"/>
        </w:rPr>
      </w:pPr>
      <w:r>
        <w:rPr>
          <w:rFonts w:ascii="Arial" w:hAnsi="Arial" w:cs="Arial"/>
          <w:b/>
          <w:bCs/>
          <w:sz w:val="24"/>
        </w:rPr>
        <w:t>References</w:t>
      </w:r>
    </w:p>
    <w:p w14:paraId="70E324B9" w14:textId="77777777" w:rsidR="00E40BB9" w:rsidRPr="00E40BB9" w:rsidRDefault="00E40BB9" w:rsidP="00E40BB9">
      <w:pPr>
        <w:autoSpaceDE w:val="0"/>
        <w:autoSpaceDN w:val="0"/>
        <w:adjustRightInd w:val="0"/>
        <w:spacing w:line="300" w:lineRule="auto"/>
        <w:rPr>
          <w:sz w:val="20"/>
          <w:szCs w:val="20"/>
        </w:rPr>
      </w:pPr>
      <w:r w:rsidRPr="00E40BB9">
        <w:rPr>
          <w:sz w:val="20"/>
          <w:szCs w:val="20"/>
        </w:rPr>
        <w:t>Granato, E. T., Smith, W. P. J. &amp; Foster, K. R. Collective protection against the type VI secretion system in bacteria. </w:t>
      </w:r>
      <w:r w:rsidRPr="00E40BB9">
        <w:rPr>
          <w:i/>
          <w:iCs/>
          <w:sz w:val="20"/>
          <w:szCs w:val="20"/>
        </w:rPr>
        <w:t>ISME J.</w:t>
      </w:r>
      <w:r w:rsidRPr="00E40BB9">
        <w:rPr>
          <w:sz w:val="20"/>
          <w:szCs w:val="20"/>
        </w:rPr>
        <w:t> </w:t>
      </w:r>
      <w:r w:rsidRPr="00E40BB9">
        <w:rPr>
          <w:b/>
          <w:bCs/>
          <w:sz w:val="20"/>
          <w:szCs w:val="20"/>
        </w:rPr>
        <w:t>17</w:t>
      </w:r>
      <w:r w:rsidRPr="00E40BB9">
        <w:rPr>
          <w:sz w:val="20"/>
          <w:szCs w:val="20"/>
        </w:rPr>
        <w:t>, 1052-1062, doi:10.1038/s41396-023-01401-4 (2023).</w:t>
      </w:r>
    </w:p>
    <w:p w14:paraId="5504CB4F" w14:textId="77777777" w:rsidR="00E40BB9" w:rsidRPr="00E40BB9" w:rsidRDefault="00E40BB9" w:rsidP="00E40BB9">
      <w:pPr>
        <w:autoSpaceDE w:val="0"/>
        <w:autoSpaceDN w:val="0"/>
        <w:adjustRightInd w:val="0"/>
        <w:spacing w:line="300" w:lineRule="auto"/>
        <w:rPr>
          <w:sz w:val="20"/>
          <w:szCs w:val="20"/>
        </w:rPr>
      </w:pPr>
      <w:r w:rsidRPr="00E40BB9">
        <w:rPr>
          <w:sz w:val="20"/>
          <w:szCs w:val="20"/>
        </w:rPr>
        <w:t>Liu, T., Bai, X., Chen, J. &amp; Li, D. Material-driven microbiologically influenced corrosion mechanisms in drinking water distribution systems. </w:t>
      </w:r>
      <w:r w:rsidRPr="00E40BB9">
        <w:rPr>
          <w:i/>
          <w:iCs/>
          <w:sz w:val="20"/>
          <w:szCs w:val="20"/>
        </w:rPr>
        <w:t>Water Res.</w:t>
      </w:r>
      <w:r w:rsidRPr="00E40BB9">
        <w:rPr>
          <w:sz w:val="20"/>
          <w:szCs w:val="20"/>
        </w:rPr>
        <w:t> </w:t>
      </w:r>
      <w:r w:rsidRPr="00E40BB9">
        <w:rPr>
          <w:b/>
          <w:bCs/>
          <w:sz w:val="20"/>
          <w:szCs w:val="20"/>
        </w:rPr>
        <w:t>288</w:t>
      </w:r>
      <w:r w:rsidRPr="00E40BB9">
        <w:rPr>
          <w:sz w:val="20"/>
          <w:szCs w:val="20"/>
        </w:rPr>
        <w:t xml:space="preserve">, 124729, </w:t>
      </w:r>
      <w:proofErr w:type="gramStart"/>
      <w:r w:rsidRPr="00E40BB9">
        <w:rPr>
          <w:sz w:val="20"/>
          <w:szCs w:val="20"/>
        </w:rPr>
        <w:t>doi:10.1016/j.watres</w:t>
      </w:r>
      <w:proofErr w:type="gramEnd"/>
      <w:r w:rsidRPr="00E40BB9">
        <w:rPr>
          <w:sz w:val="20"/>
          <w:szCs w:val="20"/>
        </w:rPr>
        <w:t>.2025.124729 (2026).</w:t>
      </w:r>
    </w:p>
    <w:p w14:paraId="33F88A83" w14:textId="77777777" w:rsidR="00E40BB9" w:rsidRPr="00E40BB9" w:rsidRDefault="00E40BB9" w:rsidP="00E40BB9">
      <w:pPr>
        <w:autoSpaceDE w:val="0"/>
        <w:autoSpaceDN w:val="0"/>
        <w:adjustRightInd w:val="0"/>
        <w:spacing w:line="300" w:lineRule="auto"/>
        <w:rPr>
          <w:sz w:val="20"/>
          <w:szCs w:val="20"/>
        </w:rPr>
      </w:pPr>
      <w:r w:rsidRPr="00E40BB9">
        <w:rPr>
          <w:sz w:val="20"/>
          <w:szCs w:val="20"/>
        </w:rPr>
        <w:t>Zhang, J., Li, Y., Wang, X. &amp; Lin, J. SecReT6 update: a comprehensive resource of bacterial Type VI Secretion Systems. </w:t>
      </w:r>
      <w:r w:rsidRPr="00E40BB9">
        <w:rPr>
          <w:i/>
          <w:iCs/>
          <w:sz w:val="20"/>
          <w:szCs w:val="20"/>
        </w:rPr>
        <w:t>Sci. China Life Sci.</w:t>
      </w:r>
      <w:r w:rsidRPr="00E40BB9">
        <w:rPr>
          <w:sz w:val="20"/>
          <w:szCs w:val="20"/>
        </w:rPr>
        <w:t> </w:t>
      </w:r>
      <w:r w:rsidRPr="00E40BB9">
        <w:rPr>
          <w:b/>
          <w:bCs/>
          <w:sz w:val="20"/>
          <w:szCs w:val="20"/>
        </w:rPr>
        <w:t>66</w:t>
      </w:r>
      <w:r w:rsidRPr="00E40BB9">
        <w:rPr>
          <w:sz w:val="20"/>
          <w:szCs w:val="20"/>
        </w:rPr>
        <w:t>, 626-634, doi:10.1007/s11427-022-2172-x (2023).</w:t>
      </w:r>
    </w:p>
    <w:p w14:paraId="635256FF" w14:textId="6720BA5A" w:rsidR="00163D6E" w:rsidRPr="00E40BB9" w:rsidRDefault="00E40BB9" w:rsidP="00E40BB9">
      <w:pPr>
        <w:autoSpaceDE w:val="0"/>
        <w:autoSpaceDN w:val="0"/>
        <w:adjustRightInd w:val="0"/>
        <w:spacing w:line="300" w:lineRule="auto"/>
        <w:rPr>
          <w:sz w:val="20"/>
          <w:szCs w:val="20"/>
        </w:rPr>
      </w:pPr>
      <w:r w:rsidRPr="00E40BB9">
        <w:rPr>
          <w:sz w:val="20"/>
          <w:szCs w:val="20"/>
        </w:rPr>
        <w:t>Zhang, Y., Gu, A. Z., He, M., Li, D. &amp; Chen, J. M. Subinhibitory Concentrations of Disinfectants Promote the Horizontal Transfer of Multidrug Resistance Genes within and across Genera. </w:t>
      </w:r>
      <w:r w:rsidRPr="00E40BB9">
        <w:rPr>
          <w:i/>
          <w:iCs/>
          <w:sz w:val="20"/>
          <w:szCs w:val="20"/>
        </w:rPr>
        <w:t>Environ. Sci. Technol.</w:t>
      </w:r>
      <w:r w:rsidRPr="00E40BB9">
        <w:rPr>
          <w:sz w:val="20"/>
          <w:szCs w:val="20"/>
        </w:rPr>
        <w:t> </w:t>
      </w:r>
      <w:r w:rsidRPr="00E40BB9">
        <w:rPr>
          <w:b/>
          <w:bCs/>
          <w:sz w:val="20"/>
          <w:szCs w:val="20"/>
        </w:rPr>
        <w:t>51</w:t>
      </w:r>
      <w:r w:rsidRPr="00E40BB9">
        <w:rPr>
          <w:sz w:val="20"/>
          <w:szCs w:val="20"/>
        </w:rPr>
        <w:t xml:space="preserve">, 570-580, </w:t>
      </w:r>
      <w:proofErr w:type="gramStart"/>
      <w:r w:rsidRPr="00E40BB9">
        <w:rPr>
          <w:sz w:val="20"/>
          <w:szCs w:val="20"/>
        </w:rPr>
        <w:t>doi:10.1021/acs.est</w:t>
      </w:r>
      <w:proofErr w:type="gramEnd"/>
      <w:r w:rsidRPr="00E40BB9">
        <w:rPr>
          <w:sz w:val="20"/>
          <w:szCs w:val="20"/>
        </w:rPr>
        <w:t>.6b03132 (2017).</w:t>
      </w:r>
    </w:p>
    <w:sectPr w:rsidR="00163D6E" w:rsidRPr="00E40BB9">
      <w:headerReference w:type="default" r:id="rId6"/>
      <w:footerReference w:type="default" r:id="rId7"/>
      <w:pgSz w:w="11906" w:h="16838"/>
      <w:pgMar w:top="1418" w:right="1418" w:bottom="1418"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CFF465" w14:textId="77777777" w:rsidR="008C6001" w:rsidRDefault="008C6001">
      <w:r>
        <w:separator/>
      </w:r>
    </w:p>
  </w:endnote>
  <w:endnote w:type="continuationSeparator" w:id="0">
    <w:p w14:paraId="28C84278" w14:textId="77777777" w:rsidR="008C6001" w:rsidRDefault="008C60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907959" w14:textId="528A9463" w:rsidR="00163D6E" w:rsidRDefault="001E3D8F">
    <w:pPr>
      <w:pStyle w:val="a5"/>
      <w:jc w:val="center"/>
      <w:rPr>
        <w:sz w:val="20"/>
        <w:szCs w:val="20"/>
      </w:rPr>
    </w:pPr>
    <w:r>
      <w:rPr>
        <w:noProof/>
        <w:sz w:val="20"/>
      </w:rPr>
      <mc:AlternateContent>
        <mc:Choice Requires="wps">
          <w:drawing>
            <wp:anchor distT="0" distB="0" distL="114300" distR="114300" simplePos="0" relativeHeight="251657728" behindDoc="0" locked="0" layoutInCell="1" allowOverlap="1" wp14:anchorId="4F244E65" wp14:editId="2B11522F">
              <wp:simplePos x="0" y="0"/>
              <wp:positionH relativeFrom="margin">
                <wp:align>center</wp:align>
              </wp:positionH>
              <wp:positionV relativeFrom="paragraph">
                <wp:posOffset>0</wp:posOffset>
              </wp:positionV>
              <wp:extent cx="57785" cy="131445"/>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5875">
                            <a:solidFill>
                              <a:srgbClr val="000000"/>
                            </a:solidFill>
                            <a:miter lim="800000"/>
                            <a:headEnd/>
                            <a:tailEnd/>
                          </a14:hiddenLine>
                        </a:ext>
                      </a:extLst>
                    </wps:spPr>
                    <wps:txbx>
                      <w:txbxContent>
                        <w:p w14:paraId="3EE054C7" w14:textId="77777777" w:rsidR="00163D6E" w:rsidRDefault="00163D6E">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F244E65" id="_x0000_t202" coordsize="21600,21600" o:spt="202" path="m,l,21600r21600,l21600,xe">
              <v:stroke joinstyle="miter"/>
              <v:path gradientshapeok="t" o:connecttype="rect"/>
            </v:shapetype>
            <v:shape id="文本框 1" o:spid="_x0000_s1026" type="#_x0000_t202" style="position:absolute;left:0;text-align:left;margin-left:0;margin-top:0;width:4.55pt;height:10.35pt;z-index:25165772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" filled="f" stroked="f" strokeweight="1.25pt">
              <v:textbox style="mso-fit-shape-to-text:t" inset="0,0,0,0">
                <w:txbxContent>
                  <w:p w14:paraId="3EE054C7" w14:textId="77777777" w:rsidR="00163D6E" w:rsidRDefault="00163D6E">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4F7689" w14:textId="77777777" w:rsidR="008C6001" w:rsidRDefault="008C6001">
      <w:r>
        <w:separator/>
      </w:r>
    </w:p>
  </w:footnote>
  <w:footnote w:type="continuationSeparator" w:id="0">
    <w:p w14:paraId="40C46E7D" w14:textId="77777777" w:rsidR="008C6001" w:rsidRDefault="008C60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CA59BC" w14:textId="77777777" w:rsidR="00163D6E" w:rsidRDefault="00163D6E">
    <w:pPr>
      <w:pStyle w:val="a6"/>
      <w:rPr>
        <w:color w:val="444444"/>
      </w:rPr>
    </w:pPr>
    <w:r>
      <w:rPr>
        <w:color w:val="444444"/>
      </w:rPr>
      <w:t>5th International Conference on Disinfection and DBPs: Advancements in Disinfection Systems Towards Safe Drinking Water and Water Reuse</w:t>
    </w:r>
  </w:p>
  <w:p w14:paraId="23E15658" w14:textId="77777777" w:rsidR="00163D6E" w:rsidRDefault="00163D6E">
    <w:pPr>
      <w:pStyle w:val="a6"/>
    </w:pPr>
    <w:r>
      <w:rPr>
        <w:rFonts w:hint="eastAsia"/>
        <w:color w:val="444444"/>
      </w:rPr>
      <w:t>Shanghai</w:t>
    </w:r>
    <w:r>
      <w:rPr>
        <w:color w:val="444444"/>
      </w:rPr>
      <w:t>, China,</w:t>
    </w:r>
    <w:r>
      <w:rPr>
        <w:rFonts w:hint="eastAsia"/>
        <w:color w:val="444444"/>
      </w:rPr>
      <w:t xml:space="preserve"> July 7th to 11th, 2026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50"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50FC"/>
    <w:rsid w:val="00015AA9"/>
    <w:rsid w:val="00050E16"/>
    <w:rsid w:val="00072E6E"/>
    <w:rsid w:val="00080757"/>
    <w:rsid w:val="000A105F"/>
    <w:rsid w:val="000C0A4F"/>
    <w:rsid w:val="000D360C"/>
    <w:rsid w:val="000E46B5"/>
    <w:rsid w:val="0011364C"/>
    <w:rsid w:val="00117D46"/>
    <w:rsid w:val="00143C40"/>
    <w:rsid w:val="00150D8E"/>
    <w:rsid w:val="00161AE0"/>
    <w:rsid w:val="00163D6E"/>
    <w:rsid w:val="001653EA"/>
    <w:rsid w:val="00165757"/>
    <w:rsid w:val="00181740"/>
    <w:rsid w:val="00183BA6"/>
    <w:rsid w:val="001B5CAA"/>
    <w:rsid w:val="001B662A"/>
    <w:rsid w:val="001C0322"/>
    <w:rsid w:val="001C3237"/>
    <w:rsid w:val="001E2E79"/>
    <w:rsid w:val="001E3D8F"/>
    <w:rsid w:val="00206867"/>
    <w:rsid w:val="00212C4A"/>
    <w:rsid w:val="00216812"/>
    <w:rsid w:val="00246FCA"/>
    <w:rsid w:val="00292733"/>
    <w:rsid w:val="002A3005"/>
    <w:rsid w:val="002B6D66"/>
    <w:rsid w:val="002C0245"/>
    <w:rsid w:val="00306884"/>
    <w:rsid w:val="00314F38"/>
    <w:rsid w:val="0034417C"/>
    <w:rsid w:val="00345750"/>
    <w:rsid w:val="00393CDF"/>
    <w:rsid w:val="003A3C1B"/>
    <w:rsid w:val="003B6E46"/>
    <w:rsid w:val="003F4D90"/>
    <w:rsid w:val="00403B08"/>
    <w:rsid w:val="0041412E"/>
    <w:rsid w:val="004201D9"/>
    <w:rsid w:val="00443766"/>
    <w:rsid w:val="004563A9"/>
    <w:rsid w:val="00462302"/>
    <w:rsid w:val="004746D6"/>
    <w:rsid w:val="00480F98"/>
    <w:rsid w:val="004A03FC"/>
    <w:rsid w:val="004A41C5"/>
    <w:rsid w:val="004C774E"/>
    <w:rsid w:val="004E49CC"/>
    <w:rsid w:val="004F04A3"/>
    <w:rsid w:val="004F0B66"/>
    <w:rsid w:val="004F5761"/>
    <w:rsid w:val="0050370F"/>
    <w:rsid w:val="00522E8E"/>
    <w:rsid w:val="00526C77"/>
    <w:rsid w:val="00532E1E"/>
    <w:rsid w:val="00542372"/>
    <w:rsid w:val="005473C6"/>
    <w:rsid w:val="00565735"/>
    <w:rsid w:val="00566637"/>
    <w:rsid w:val="005735A6"/>
    <w:rsid w:val="005A4349"/>
    <w:rsid w:val="005B1C44"/>
    <w:rsid w:val="005B1D6F"/>
    <w:rsid w:val="005B4F94"/>
    <w:rsid w:val="005C1B6D"/>
    <w:rsid w:val="005D0A35"/>
    <w:rsid w:val="00635DE3"/>
    <w:rsid w:val="00635E34"/>
    <w:rsid w:val="006479A7"/>
    <w:rsid w:val="006523A2"/>
    <w:rsid w:val="00662C8D"/>
    <w:rsid w:val="006650FC"/>
    <w:rsid w:val="006D6FEB"/>
    <w:rsid w:val="006E6628"/>
    <w:rsid w:val="006E7FF9"/>
    <w:rsid w:val="00710195"/>
    <w:rsid w:val="00730A6C"/>
    <w:rsid w:val="00735D95"/>
    <w:rsid w:val="00740473"/>
    <w:rsid w:val="00756CA5"/>
    <w:rsid w:val="00775E3C"/>
    <w:rsid w:val="007904B7"/>
    <w:rsid w:val="007A04DD"/>
    <w:rsid w:val="007A4E44"/>
    <w:rsid w:val="007E51DD"/>
    <w:rsid w:val="00811153"/>
    <w:rsid w:val="008649EB"/>
    <w:rsid w:val="008668D8"/>
    <w:rsid w:val="008740E1"/>
    <w:rsid w:val="008859BC"/>
    <w:rsid w:val="0088769D"/>
    <w:rsid w:val="008B7260"/>
    <w:rsid w:val="008C6001"/>
    <w:rsid w:val="009020D4"/>
    <w:rsid w:val="009162C1"/>
    <w:rsid w:val="00922196"/>
    <w:rsid w:val="009245F3"/>
    <w:rsid w:val="00925DAD"/>
    <w:rsid w:val="009400C3"/>
    <w:rsid w:val="0094231D"/>
    <w:rsid w:val="00955046"/>
    <w:rsid w:val="00966FAE"/>
    <w:rsid w:val="009709AF"/>
    <w:rsid w:val="00972B45"/>
    <w:rsid w:val="00973FF4"/>
    <w:rsid w:val="00980CEA"/>
    <w:rsid w:val="009A3212"/>
    <w:rsid w:val="009B516D"/>
    <w:rsid w:val="009E2212"/>
    <w:rsid w:val="009F5218"/>
    <w:rsid w:val="00A00287"/>
    <w:rsid w:val="00A00A41"/>
    <w:rsid w:val="00A0376E"/>
    <w:rsid w:val="00A136F6"/>
    <w:rsid w:val="00A15678"/>
    <w:rsid w:val="00A479F0"/>
    <w:rsid w:val="00A701CA"/>
    <w:rsid w:val="00AA39C9"/>
    <w:rsid w:val="00AA41A2"/>
    <w:rsid w:val="00AC7CB1"/>
    <w:rsid w:val="00AD113A"/>
    <w:rsid w:val="00AD26C4"/>
    <w:rsid w:val="00AD3DDC"/>
    <w:rsid w:val="00AE4420"/>
    <w:rsid w:val="00AE7FE2"/>
    <w:rsid w:val="00AF378A"/>
    <w:rsid w:val="00B130A2"/>
    <w:rsid w:val="00B256CE"/>
    <w:rsid w:val="00B279D3"/>
    <w:rsid w:val="00B4013F"/>
    <w:rsid w:val="00B57AEB"/>
    <w:rsid w:val="00B753D1"/>
    <w:rsid w:val="00B773AA"/>
    <w:rsid w:val="00B92744"/>
    <w:rsid w:val="00BA6EE8"/>
    <w:rsid w:val="00BB02D0"/>
    <w:rsid w:val="00BB2398"/>
    <w:rsid w:val="00BC1A0E"/>
    <w:rsid w:val="00BC6C3F"/>
    <w:rsid w:val="00BF28B1"/>
    <w:rsid w:val="00C3103A"/>
    <w:rsid w:val="00C32AD0"/>
    <w:rsid w:val="00C75D6E"/>
    <w:rsid w:val="00C764A1"/>
    <w:rsid w:val="00CB2F7F"/>
    <w:rsid w:val="00CB4197"/>
    <w:rsid w:val="00CC46A3"/>
    <w:rsid w:val="00CF039A"/>
    <w:rsid w:val="00D13C13"/>
    <w:rsid w:val="00D15496"/>
    <w:rsid w:val="00D67891"/>
    <w:rsid w:val="00D8446D"/>
    <w:rsid w:val="00DB3F18"/>
    <w:rsid w:val="00DB67EF"/>
    <w:rsid w:val="00DC33E3"/>
    <w:rsid w:val="00DD7880"/>
    <w:rsid w:val="00DF0D5C"/>
    <w:rsid w:val="00DF504C"/>
    <w:rsid w:val="00E015B7"/>
    <w:rsid w:val="00E06734"/>
    <w:rsid w:val="00E20DD1"/>
    <w:rsid w:val="00E24BB1"/>
    <w:rsid w:val="00E35FC2"/>
    <w:rsid w:val="00E40BB9"/>
    <w:rsid w:val="00E532EF"/>
    <w:rsid w:val="00E55F95"/>
    <w:rsid w:val="00E60640"/>
    <w:rsid w:val="00E653CC"/>
    <w:rsid w:val="00E70205"/>
    <w:rsid w:val="00E83955"/>
    <w:rsid w:val="00EA0F08"/>
    <w:rsid w:val="00EA4AF9"/>
    <w:rsid w:val="00EB37F7"/>
    <w:rsid w:val="00ED20A6"/>
    <w:rsid w:val="00EE3BE2"/>
    <w:rsid w:val="00EE76AB"/>
    <w:rsid w:val="00F0487B"/>
    <w:rsid w:val="00F04986"/>
    <w:rsid w:val="00F067D0"/>
    <w:rsid w:val="00F508BE"/>
    <w:rsid w:val="00F56864"/>
    <w:rsid w:val="00F705A7"/>
    <w:rsid w:val="00F71B97"/>
    <w:rsid w:val="00FA542D"/>
    <w:rsid w:val="00FB7F29"/>
    <w:rsid w:val="00FC56B8"/>
    <w:rsid w:val="00FD1AB9"/>
    <w:rsid w:val="00FD32CE"/>
    <w:rsid w:val="00FF2739"/>
    <w:rsid w:val="00FF3DFB"/>
    <w:rsid w:val="04A80D30"/>
    <w:rsid w:val="0CE6655D"/>
    <w:rsid w:val="11BC23DE"/>
    <w:rsid w:val="156A5AB1"/>
    <w:rsid w:val="25533ABB"/>
    <w:rsid w:val="45193A0F"/>
    <w:rsid w:val="59D02953"/>
    <w:rsid w:val="5C93552F"/>
    <w:rsid w:val="5E514D99"/>
    <w:rsid w:val="61D34332"/>
    <w:rsid w:val="64BD75EC"/>
    <w:rsid w:val="66D21888"/>
    <w:rsid w:val="70BA03DF"/>
    <w:rsid w:val="75530582"/>
    <w:rsid w:val="7BB92D69"/>
    <w:rsid w:val="7F176A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rokecolor="#739cc3">
      <v:fill angle="90" type="gradient">
        <o:fill v:ext="view" type="gradientUnscaled"/>
      </v:fill>
      <v:stroke color="#739cc3" weight="1.25pt"/>
    </o:shapedefaults>
    <o:shapelayout v:ext="edit">
      <o:idmap v:ext="edit" data="2"/>
    </o:shapelayout>
  </w:shapeDefaults>
  <w:decimalSymbol w:val="."/>
  <w:listSeparator w:val=","/>
  <w14:docId w14:val="5285A4F3"/>
  <w15:chartTrackingRefBased/>
  <w15:docId w15:val="{A85E93FB-D028-4678-9D16-8B2B1CC8F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3">
    <w:name w:val="heading 3"/>
    <w:basedOn w:val="a"/>
    <w:next w:val="a"/>
    <w:link w:val="30"/>
    <w:semiHidden/>
    <w:unhideWhenUsed/>
    <w:qFormat/>
    <w:rsid w:val="00973FF4"/>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rPr>
      <w:b/>
      <w:bCs/>
      <w:kern w:val="44"/>
      <w:sz w:val="44"/>
      <w:szCs w:val="44"/>
    </w:rPr>
  </w:style>
  <w:style w:type="paragraph" w:styleId="a3">
    <w:name w:val="Document Map"/>
    <w:basedOn w:val="a"/>
    <w:link w:val="a4"/>
    <w:rPr>
      <w:rFonts w:ascii="宋体"/>
      <w:sz w:val="18"/>
      <w:szCs w:val="18"/>
    </w:rPr>
  </w:style>
  <w:style w:type="character" w:customStyle="1" w:styleId="a4">
    <w:name w:val="文档结构图 字符"/>
    <w:link w:val="a3"/>
    <w:rPr>
      <w:rFonts w:ascii="宋体"/>
      <w:kern w:val="2"/>
      <w:sz w:val="18"/>
      <w:szCs w:val="18"/>
    </w:rPr>
  </w:style>
  <w:style w:type="paragraph" w:styleId="a5">
    <w:name w:val="footer"/>
    <w:basedOn w:val="a"/>
    <w:pPr>
      <w:tabs>
        <w:tab w:val="center" w:pos="4153"/>
        <w:tab w:val="right" w:pos="8306"/>
      </w:tabs>
      <w:snapToGrid w:val="0"/>
      <w:jc w:val="left"/>
    </w:pPr>
    <w:rPr>
      <w:sz w:val="18"/>
      <w:szCs w:val="18"/>
    </w:rPr>
  </w:style>
  <w:style w:type="paragraph" w:styleId="a6">
    <w:name w:val="header"/>
    <w:basedOn w:val="a"/>
    <w:pPr>
      <w:pBdr>
        <w:bottom w:val="single" w:sz="6" w:space="1" w:color="auto"/>
      </w:pBdr>
      <w:tabs>
        <w:tab w:val="center" w:pos="4153"/>
        <w:tab w:val="right" w:pos="8306"/>
      </w:tabs>
      <w:snapToGrid w:val="0"/>
      <w:jc w:val="center"/>
    </w:pPr>
    <w:rPr>
      <w:sz w:val="18"/>
      <w:szCs w:val="18"/>
    </w:rPr>
  </w:style>
  <w:style w:type="paragraph" w:styleId="a7">
    <w:name w:val="Normal (Web)"/>
    <w:basedOn w:val="a"/>
    <w:rPr>
      <w:sz w:val="24"/>
    </w:rPr>
  </w:style>
  <w:style w:type="character" w:styleId="a8">
    <w:name w:val="page number"/>
  </w:style>
  <w:style w:type="paragraph" w:customStyle="1" w:styleId="IWAHeading">
    <w:name w:val="(IWA) Heading"/>
    <w:basedOn w:val="1"/>
    <w:next w:val="IWAFirstparagraph"/>
    <w:pPr>
      <w:keepLines w:val="0"/>
      <w:widowControl/>
      <w:suppressLineNumbers/>
      <w:tabs>
        <w:tab w:val="left" w:pos="414"/>
      </w:tabs>
      <w:overflowPunct w:val="0"/>
      <w:autoSpaceDE w:val="0"/>
      <w:autoSpaceDN w:val="0"/>
      <w:adjustRightInd w:val="0"/>
      <w:spacing w:before="320" w:after="120" w:line="320" w:lineRule="atLeast"/>
      <w:ind w:left="420" w:hanging="420"/>
      <w:jc w:val="left"/>
      <w:textAlignment w:val="baseline"/>
    </w:pPr>
    <w:rPr>
      <w:rFonts w:ascii="Arial" w:hAnsi="Arial" w:cs="Arial"/>
      <w:kern w:val="28"/>
      <w:sz w:val="24"/>
      <w:szCs w:val="24"/>
      <w:lang w:val="en-GB" w:eastAsia="en-US"/>
    </w:rPr>
  </w:style>
  <w:style w:type="paragraph" w:customStyle="1" w:styleId="IWAFirstparagraph">
    <w:name w:val="(IWA) First paragraph"/>
    <w:basedOn w:val="a"/>
    <w:next w:val="IWANormalParagraph"/>
    <w:pPr>
      <w:widowControl/>
      <w:suppressLineNumbers/>
      <w:overflowPunct w:val="0"/>
      <w:autoSpaceDE w:val="0"/>
      <w:autoSpaceDN w:val="0"/>
      <w:adjustRightInd w:val="0"/>
      <w:spacing w:after="120" w:line="240" w:lineRule="atLeast"/>
      <w:textAlignment w:val="baseline"/>
    </w:pPr>
    <w:rPr>
      <w:rFonts w:ascii="Arial" w:hAnsi="Arial" w:cs="Arial"/>
      <w:kern w:val="0"/>
      <w:sz w:val="22"/>
      <w:szCs w:val="22"/>
      <w:lang w:val="en-GB" w:eastAsia="en-US"/>
    </w:rPr>
  </w:style>
  <w:style w:type="paragraph" w:customStyle="1" w:styleId="IWANormalParagraph">
    <w:name w:val="(IWA) Normal Paragraph"/>
    <w:basedOn w:val="a"/>
    <w:pPr>
      <w:widowControl/>
      <w:spacing w:after="120"/>
      <w:ind w:firstLine="210"/>
    </w:pPr>
    <w:rPr>
      <w:rFonts w:ascii="Arial" w:hAnsi="Arial" w:cs="Arial"/>
      <w:kern w:val="0"/>
      <w:sz w:val="22"/>
      <w:szCs w:val="22"/>
      <w:lang w:val="en-GB" w:eastAsia="en-US"/>
    </w:rPr>
  </w:style>
  <w:style w:type="paragraph" w:customStyle="1" w:styleId="Authornames">
    <w:name w:val="Author name(s)"/>
    <w:basedOn w:val="a"/>
    <w:next w:val="a"/>
    <w:pPr>
      <w:widowControl/>
      <w:suppressLineNumbers/>
      <w:suppressAutoHyphens/>
      <w:overflowPunct w:val="0"/>
      <w:autoSpaceDE w:val="0"/>
      <w:autoSpaceDN w:val="0"/>
      <w:adjustRightInd w:val="0"/>
      <w:spacing w:before="240" w:after="120" w:line="240" w:lineRule="exact"/>
      <w:jc w:val="left"/>
      <w:textAlignment w:val="baseline"/>
    </w:pPr>
    <w:rPr>
      <w:rFonts w:ascii="Arial" w:hAnsi="Arial" w:cs="Arial"/>
      <w:b/>
      <w:bCs/>
      <w:kern w:val="0"/>
      <w:sz w:val="20"/>
      <w:szCs w:val="20"/>
      <w:lang w:val="en-GB" w:eastAsia="en-US"/>
    </w:rPr>
  </w:style>
  <w:style w:type="paragraph" w:customStyle="1" w:styleId="IWAKeyword">
    <w:name w:val="(IWA) Keyword"/>
    <w:basedOn w:val="a"/>
    <w:next w:val="1"/>
    <w:pPr>
      <w:widowControl/>
      <w:suppressLineNumbers/>
      <w:suppressAutoHyphens/>
      <w:overflowPunct w:val="0"/>
      <w:autoSpaceDE w:val="0"/>
      <w:autoSpaceDN w:val="0"/>
      <w:adjustRightInd w:val="0"/>
      <w:spacing w:line="220" w:lineRule="atLeast"/>
      <w:jc w:val="center"/>
      <w:textAlignment w:val="baseline"/>
    </w:pPr>
    <w:rPr>
      <w:rFonts w:ascii="Arial" w:hAnsi="Arial" w:cs="Arial"/>
      <w:kern w:val="0"/>
      <w:sz w:val="18"/>
      <w:szCs w:val="18"/>
      <w:lang w:val="en-GB" w:eastAsia="en-US"/>
    </w:rPr>
  </w:style>
  <w:style w:type="paragraph" w:customStyle="1" w:styleId="Authoraddress">
    <w:name w:val="Author address"/>
    <w:basedOn w:val="a"/>
    <w:next w:val="a"/>
    <w:pPr>
      <w:widowControl/>
      <w:suppressLineNumbers/>
      <w:suppressAutoHyphens/>
      <w:overflowPunct w:val="0"/>
      <w:autoSpaceDE w:val="0"/>
      <w:autoSpaceDN w:val="0"/>
      <w:adjustRightInd w:val="0"/>
      <w:spacing w:line="220" w:lineRule="atLeast"/>
      <w:jc w:val="left"/>
      <w:textAlignment w:val="baseline"/>
    </w:pPr>
    <w:rPr>
      <w:rFonts w:ascii="Arial" w:hAnsi="Arial" w:cs="Arial"/>
      <w:kern w:val="0"/>
      <w:sz w:val="18"/>
      <w:szCs w:val="18"/>
      <w:lang w:val="en-GB" w:eastAsia="en-US"/>
    </w:rPr>
  </w:style>
  <w:style w:type="paragraph" w:customStyle="1" w:styleId="PlainText1">
    <w:name w:val="Plain Text1"/>
    <w:basedOn w:val="a"/>
    <w:rPr>
      <w:rFonts w:ascii="Calibri" w:hAnsi="Courier New" w:cs="Courier New"/>
      <w:sz w:val="24"/>
      <w:lang w:eastAsia="zh-TW"/>
    </w:rPr>
  </w:style>
  <w:style w:type="paragraph" w:customStyle="1" w:styleId="IWAPaperTitle">
    <w:name w:val="(IWA) Paper Title"/>
    <w:basedOn w:val="a"/>
    <w:pPr>
      <w:widowControl/>
      <w:jc w:val="center"/>
    </w:pPr>
    <w:rPr>
      <w:rFonts w:ascii="Arial" w:hAnsi="Arial" w:cs="Arial"/>
      <w:b/>
      <w:bCs/>
      <w:kern w:val="0"/>
      <w:sz w:val="28"/>
      <w:szCs w:val="28"/>
      <w:lang w:val="en-GB" w:eastAsia="en-US"/>
    </w:rPr>
  </w:style>
  <w:style w:type="character" w:customStyle="1" w:styleId="30">
    <w:name w:val="标题 3 字符"/>
    <w:basedOn w:val="a0"/>
    <w:link w:val="3"/>
    <w:semiHidden/>
    <w:rsid w:val="00973FF4"/>
    <w:rPr>
      <w:b/>
      <w:bCs/>
      <w:kern w:val="2"/>
      <w:sz w:val="32"/>
      <w:szCs w:val="32"/>
    </w:rPr>
  </w:style>
  <w:style w:type="character" w:styleId="a9">
    <w:name w:val="Emphasis"/>
    <w:uiPriority w:val="20"/>
    <w:qFormat/>
    <w:rsid w:val="001E3D8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661208">
      <w:bodyDiv w:val="1"/>
      <w:marLeft w:val="0"/>
      <w:marRight w:val="0"/>
      <w:marTop w:val="0"/>
      <w:marBottom w:val="0"/>
      <w:divBdr>
        <w:top w:val="none" w:sz="0" w:space="0" w:color="auto"/>
        <w:left w:val="none" w:sz="0" w:space="0" w:color="auto"/>
        <w:bottom w:val="none" w:sz="0" w:space="0" w:color="auto"/>
        <w:right w:val="none" w:sz="0" w:space="0" w:color="auto"/>
      </w:divBdr>
    </w:div>
    <w:div w:id="435518045">
      <w:bodyDiv w:val="1"/>
      <w:marLeft w:val="0"/>
      <w:marRight w:val="0"/>
      <w:marTop w:val="0"/>
      <w:marBottom w:val="0"/>
      <w:divBdr>
        <w:top w:val="none" w:sz="0" w:space="0" w:color="auto"/>
        <w:left w:val="none" w:sz="0" w:space="0" w:color="auto"/>
        <w:bottom w:val="none" w:sz="0" w:space="0" w:color="auto"/>
        <w:right w:val="none" w:sz="0" w:space="0" w:color="auto"/>
      </w:divBdr>
    </w:div>
    <w:div w:id="834763365">
      <w:bodyDiv w:val="1"/>
      <w:marLeft w:val="0"/>
      <w:marRight w:val="0"/>
      <w:marTop w:val="0"/>
      <w:marBottom w:val="0"/>
      <w:divBdr>
        <w:top w:val="none" w:sz="0" w:space="0" w:color="auto"/>
        <w:left w:val="none" w:sz="0" w:space="0" w:color="auto"/>
        <w:bottom w:val="none" w:sz="0" w:space="0" w:color="auto"/>
        <w:right w:val="none" w:sz="0" w:space="0" w:color="auto"/>
      </w:divBdr>
    </w:div>
    <w:div w:id="1067411257">
      <w:bodyDiv w:val="1"/>
      <w:marLeft w:val="0"/>
      <w:marRight w:val="0"/>
      <w:marTop w:val="0"/>
      <w:marBottom w:val="0"/>
      <w:divBdr>
        <w:top w:val="none" w:sz="0" w:space="0" w:color="auto"/>
        <w:left w:val="none" w:sz="0" w:space="0" w:color="auto"/>
        <w:bottom w:val="none" w:sz="0" w:space="0" w:color="auto"/>
        <w:right w:val="none" w:sz="0" w:space="0" w:color="auto"/>
      </w:divBdr>
    </w:div>
    <w:div w:id="1266231159">
      <w:bodyDiv w:val="1"/>
      <w:marLeft w:val="0"/>
      <w:marRight w:val="0"/>
      <w:marTop w:val="0"/>
      <w:marBottom w:val="0"/>
      <w:divBdr>
        <w:top w:val="none" w:sz="0" w:space="0" w:color="auto"/>
        <w:left w:val="none" w:sz="0" w:space="0" w:color="auto"/>
        <w:bottom w:val="none" w:sz="0" w:space="0" w:color="auto"/>
        <w:right w:val="none" w:sz="0" w:space="0" w:color="auto"/>
      </w:divBdr>
    </w:div>
    <w:div w:id="1294674714">
      <w:bodyDiv w:val="1"/>
      <w:marLeft w:val="0"/>
      <w:marRight w:val="0"/>
      <w:marTop w:val="0"/>
      <w:marBottom w:val="0"/>
      <w:divBdr>
        <w:top w:val="none" w:sz="0" w:space="0" w:color="auto"/>
        <w:left w:val="none" w:sz="0" w:space="0" w:color="auto"/>
        <w:bottom w:val="none" w:sz="0" w:space="0" w:color="auto"/>
        <w:right w:val="none" w:sz="0" w:space="0" w:color="auto"/>
      </w:divBdr>
    </w:div>
    <w:div w:id="1704357346">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pixelsPerInch w:val="19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768</Words>
  <Characters>4381</Characters>
  <Application>Microsoft Office Word</Application>
  <DocSecurity>0</DocSecurity>
  <PresentationFormat/>
  <Lines>36</Lines>
  <Paragraphs>10</Paragraphs>
  <Slides>0</Slides>
  <Notes>0</Notes>
  <HiddenSlides>0</HiddenSlides>
  <MMClips>0</MMClips>
  <ScaleCrop>false</ScaleCrop>
  <HeadingPairs>
    <vt:vector size="2" baseType="variant">
      <vt:variant>
        <vt:lpstr>Title</vt:lpstr>
      </vt:variant>
      <vt:variant>
        <vt:i4>1</vt:i4>
      </vt:variant>
    </vt:vector>
  </HeadingPairs>
  <TitlesOfParts>
    <vt:vector size="1" baseType="lpstr">
      <vt:lpstr>Title of Extended Abstract for the IWA-NRR 2012</vt:lpstr>
    </vt:vector>
  </TitlesOfParts>
  <Manager/>
  <Company>微软中国</Company>
  <LinksUpToDate>false</LinksUpToDate>
  <CharactersWithSpaces>5139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of Extended Abstract for the IWA-NRR 2012</dc:title>
  <dc:subject/>
  <dc:creator>微软用户</dc:creator>
  <cp:keywords/>
  <dc:description/>
  <cp:lastModifiedBy>xiaohui bai</cp:lastModifiedBy>
  <cp:revision>7</cp:revision>
  <dcterms:created xsi:type="dcterms:W3CDTF">2026-01-14T08:47:00Z</dcterms:created>
  <dcterms:modified xsi:type="dcterms:W3CDTF">2026-01-14T23:45:00Z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eyJoZGlkIjoiMzE1MTY4YzQ5NWFkMTYzNTg4MTg2NzdiNWQ5YzI3NmEiLCJ1c2VySWQiOiIzNzU0Njk5OTMifQ==</vt:lpwstr>
  </property>
  <property fmtid="{D5CDD505-2E9C-101B-9397-08002B2CF9AE}" pid="4" name="ICV">
    <vt:lpwstr>9F6B1C1C142F44238B93AD4D27136762_12</vt:lpwstr>
  </property>
</Properties>
</file>