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72E7CB">
      <w:pPr>
        <w:tabs>
          <w:tab w:val="left" w:pos="-879"/>
          <w:tab w:val="left" w:pos="0"/>
          <w:tab w:val="left" w:pos="788"/>
          <w:tab w:val="left" w:pos="1627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autoSpaceDE w:val="0"/>
        <w:autoSpaceDN w:val="0"/>
        <w:adjustRightInd w:val="0"/>
        <w:jc w:val="center"/>
        <w:outlineLvl w:val="0"/>
        <w:rPr>
          <w:rFonts w:hint="default"/>
          <w:b/>
          <w:bCs/>
          <w:color w:val="000000"/>
          <w:kern w:val="36"/>
          <w:sz w:val="28"/>
          <w:szCs w:val="28"/>
          <w:lang w:val="en-US"/>
        </w:rPr>
      </w:pPr>
      <w:r>
        <w:rPr>
          <w:b/>
          <w:bCs/>
          <w:color w:val="000000"/>
          <w:kern w:val="36"/>
          <w:sz w:val="28"/>
          <w:szCs w:val="28"/>
          <w:lang w:val="en-GB" w:eastAsia="en-US"/>
        </w:rPr>
        <w:t xml:space="preserve">Quantifying the Contributions of Fe(VI), Fe(V), and Fe(IV) </w:t>
      </w:r>
      <w:r>
        <w:rPr>
          <w:rFonts w:hint="eastAsia"/>
          <w:b/>
          <w:bCs/>
          <w:color w:val="000000"/>
          <w:kern w:val="36"/>
          <w:sz w:val="28"/>
          <w:szCs w:val="28"/>
          <w:lang w:val="en-US" w:eastAsia="zh-CN"/>
        </w:rPr>
        <w:t>during Ferrate Oxidation of Micropollutants with a Kinetic Approach</w:t>
      </w:r>
    </w:p>
    <w:p w14:paraId="0C330594">
      <w:pPr>
        <w:tabs>
          <w:tab w:val="left" w:pos="-879"/>
          <w:tab w:val="left" w:pos="0"/>
          <w:tab w:val="left" w:pos="788"/>
          <w:tab w:val="left" w:pos="1627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autoSpaceDE w:val="0"/>
        <w:autoSpaceDN w:val="0"/>
        <w:adjustRightInd w:val="0"/>
        <w:spacing w:line="360" w:lineRule="auto"/>
        <w:jc w:val="center"/>
        <w:rPr>
          <w:rFonts w:hint="eastAsia" w:eastAsia="宋体"/>
          <w:kern w:val="0"/>
          <w:sz w:val="24"/>
          <w:lang w:val="en-GB" w:eastAsia="zh-CN"/>
        </w:rPr>
      </w:pPr>
      <w:r>
        <w:rPr>
          <w:rFonts w:eastAsia="等线"/>
          <w:b/>
          <w:kern w:val="0"/>
          <w:sz w:val="24"/>
          <w:u w:val="single"/>
          <w:lang w:val="en-GB"/>
        </w:rPr>
        <w:t>Zhuang-Song Huang</w:t>
      </w:r>
      <w:r>
        <w:rPr>
          <w:rFonts w:hint="eastAsia" w:eastAsia="等线"/>
          <w:b/>
          <w:kern w:val="0"/>
          <w:sz w:val="24"/>
          <w:u w:val="single"/>
          <w:vertAlign w:val="superscript"/>
          <w:lang w:val="en-US" w:eastAsia="zh-CN"/>
        </w:rPr>
        <w:t>*</w:t>
      </w:r>
      <w:r>
        <w:rPr>
          <w:rFonts w:eastAsia="Times New Roman"/>
          <w:b/>
          <w:kern w:val="0"/>
          <w:sz w:val="24"/>
          <w:lang w:val="en-GB" w:eastAsia="en-US"/>
        </w:rPr>
        <w:t>,</w:t>
      </w:r>
      <w:r>
        <w:rPr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b/>
          <w:kern w:val="0"/>
          <w:sz w:val="24"/>
          <w:lang w:val="en-GB" w:eastAsia="en-US"/>
        </w:rPr>
        <w:t>Xiao-Na Zhao</w:t>
      </w:r>
      <w:r>
        <w:rPr>
          <w:rFonts w:eastAsiaTheme="minorEastAsia"/>
          <w:b/>
          <w:kern w:val="0"/>
          <w:sz w:val="24"/>
          <w:lang w:val="en-GB"/>
        </w:rPr>
        <w:t>,</w:t>
      </w:r>
      <w:r>
        <w:rPr>
          <w:rFonts w:hint="eastAsia" w:eastAsiaTheme="minorEastAsia"/>
          <w:b/>
          <w:kern w:val="0"/>
          <w:sz w:val="24"/>
          <w:lang w:val="en-US" w:eastAsia="zh-CN"/>
        </w:rPr>
        <w:t xml:space="preserve"> </w:t>
      </w:r>
      <w:bookmarkStart w:id="0" w:name="_Hlk207898417"/>
      <w:r>
        <w:rPr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Yu-Lei Liu</w:t>
      </w:r>
      <w:bookmarkEnd w:id="0"/>
      <w:r>
        <w:rPr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, Lu Wang, Jun Ma</w:t>
      </w:r>
      <w:r>
        <w:rPr>
          <w:rFonts w:hint="eastAsia"/>
          <w:b/>
          <w:kern w:val="0"/>
          <w:sz w:val="24"/>
          <w:vertAlign w:val="superscript"/>
          <w:lang w:val="en-US" w:eastAsia="zh-CN"/>
        </w:rPr>
        <w:t>*</w:t>
      </w:r>
    </w:p>
    <w:p w14:paraId="31F22419">
      <w:pPr>
        <w:tabs>
          <w:tab w:val="left" w:pos="-879"/>
          <w:tab w:val="left" w:pos="0"/>
          <w:tab w:val="left" w:pos="788"/>
          <w:tab w:val="left" w:pos="1627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autoSpaceDE w:val="0"/>
        <w:autoSpaceDN w:val="0"/>
        <w:adjustRightInd w:val="0"/>
        <w:spacing w:line="360" w:lineRule="auto"/>
        <w:jc w:val="center"/>
        <w:outlineLvl w:val="0"/>
        <w:rPr>
          <w:bCs/>
          <w:kern w:val="0"/>
          <w:sz w:val="24"/>
          <w:lang w:val="en-GB"/>
        </w:rPr>
      </w:pPr>
      <w:r>
        <w:rPr>
          <w:bCs/>
          <w:kern w:val="0"/>
          <w:sz w:val="24"/>
        </w:rPr>
        <w:t>(</w:t>
      </w:r>
      <w:r>
        <w:rPr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State Ke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y Laboratory of Urban-rural Water Resource and Environment, School of Environment, Harbin Institute of Technology, Harbin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, Heilongjiang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, China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)</w:t>
      </w:r>
    </w:p>
    <w:p w14:paraId="20ED0369">
      <w:pPr>
        <w:spacing w:line="360" w:lineRule="auto"/>
        <w:rPr>
          <w:bCs/>
          <w:sz w:val="24"/>
        </w:rPr>
      </w:pPr>
      <w:r>
        <w:rPr>
          <w:b/>
          <w:sz w:val="24"/>
        </w:rPr>
        <w:t xml:space="preserve">Presenting Author: </w:t>
      </w:r>
      <w:r>
        <w:rPr>
          <w:bCs/>
          <w:sz w:val="24"/>
          <w:lang w:val="en-GB"/>
        </w:rPr>
        <w:t>Zhuang-Song Huang</w:t>
      </w:r>
    </w:p>
    <w:p w14:paraId="3FA88A24">
      <w:pPr>
        <w:tabs>
          <w:tab w:val="left" w:pos="-879"/>
          <w:tab w:val="left" w:pos="0"/>
          <w:tab w:val="left" w:pos="788"/>
          <w:tab w:val="left" w:pos="1627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360" w:lineRule="auto"/>
        <w:ind w:right="851"/>
        <w:outlineLvl w:val="0"/>
        <w:rPr>
          <w:rFonts w:eastAsia="Times New Roman"/>
          <w:kern w:val="0"/>
          <w:sz w:val="24"/>
          <w:lang w:val="en-GB" w:eastAsia="en-US"/>
        </w:rPr>
      </w:pPr>
      <w:r>
        <w:rPr>
          <w:b/>
          <w:bCs/>
          <w:sz w:val="24"/>
        </w:rPr>
        <w:t xml:space="preserve">Keywords: </w:t>
      </w:r>
      <w:r>
        <w:rPr>
          <w:rFonts w:eastAsia="Times New Roman"/>
          <w:kern w:val="0"/>
          <w:sz w:val="24"/>
          <w:lang w:val="en-GB" w:eastAsia="en-US"/>
        </w:rPr>
        <w:t xml:space="preserve">Water Treatment; High-Valent Iron Species; </w:t>
      </w:r>
      <w:r>
        <w:rPr>
          <w:rFonts w:hint="eastAsia" w:eastAsia="宋体"/>
          <w:kern w:val="0"/>
          <w:sz w:val="24"/>
          <w:lang w:val="en-US" w:eastAsia="zh-CN"/>
        </w:rPr>
        <w:t xml:space="preserve">Micropollutants; </w:t>
      </w:r>
      <w:r>
        <w:rPr>
          <w:rFonts w:eastAsia="Times New Roman"/>
          <w:kern w:val="0"/>
          <w:sz w:val="24"/>
          <w:lang w:val="en-GB" w:eastAsia="en-US"/>
        </w:rPr>
        <w:t>Kinetics</w:t>
      </w:r>
    </w:p>
    <w:p w14:paraId="3FC86D5B">
      <w:pPr>
        <w:tabs>
          <w:tab w:val="left" w:pos="-879"/>
          <w:tab w:val="left" w:pos="0"/>
          <w:tab w:val="left" w:pos="788"/>
          <w:tab w:val="left" w:pos="1627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before="156" w:beforeLines="50" w:after="156" w:afterLines="50"/>
        <w:ind w:right="851"/>
        <w:outlineLvl w:val="0"/>
        <w:rPr>
          <w:b/>
          <w:bCs/>
          <w:sz w:val="24"/>
        </w:rPr>
      </w:pPr>
      <w:r>
        <w:rPr>
          <w:b/>
          <w:bCs/>
          <w:sz w:val="24"/>
        </w:rPr>
        <w:t>Introduction</w:t>
      </w:r>
    </w:p>
    <w:p w14:paraId="59134812">
      <w:pPr>
        <w:adjustRightInd w:val="0"/>
        <w:snapToGrid w:val="0"/>
        <w:spacing w:line="360" w:lineRule="auto"/>
        <w:ind w:firstLine="280" w:firstLineChars="117"/>
        <w:rPr>
          <w:color w:val="000000"/>
          <w:sz w:val="24"/>
        </w:rPr>
      </w:pPr>
      <w:r>
        <w:rPr>
          <w:color w:val="000000"/>
          <w:sz w:val="24"/>
        </w:rPr>
        <w:t>Ferrate [Fe(VI)] oxidation</w:t>
      </w:r>
      <w:r>
        <w:rPr>
          <w:rFonts w:hint="eastAsia"/>
          <w:color w:val="000000"/>
          <w:sz w:val="24"/>
          <w:lang w:val="en-US" w:eastAsia="zh-CN"/>
        </w:rPr>
        <w:t xml:space="preserve"> of micropollutants </w:t>
      </w:r>
      <w:r>
        <w:rPr>
          <w:color w:val="000000"/>
          <w:sz w:val="24"/>
        </w:rPr>
        <w:t>involves Fe(V) and Fe(IV) intermediates, but their individual roles remain unclear, limiting mechanism-based optimization. Conventional kinetic models are hindered by uncertain pathways and secondary reactions. Using pyrophosphate to selectively suppress Fe(V)</w:t>
      </w:r>
      <w:r>
        <w:rPr>
          <w:rFonts w:hint="eastAsia"/>
          <w:color w:val="000000"/>
          <w:sz w:val="24"/>
        </w:rPr>
        <w:t xml:space="preserve"> </w:t>
      </w:r>
      <w:r>
        <w:rPr>
          <w:color w:val="000000"/>
          <w:sz w:val="24"/>
        </w:rPr>
        <w:fldChar w:fldCharType="begin"/>
      </w:r>
      <w:r>
        <w:rPr>
          <w:color w:val="000000"/>
          <w:sz w:val="24"/>
        </w:rPr>
        <w:instrText xml:space="preserve"> ADDIN EN.CITE &lt;EndNote&gt;&lt;Cite&gt;&lt;Author&gt;Zhao&lt;/Author&gt;&lt;Year&gt;2025&lt;/Year&gt;&lt;RecNum&gt;4678&lt;/RecNum&gt;&lt;DisplayText&gt;(Zhao et al., 2025)&lt;/DisplayText&gt;&lt;record&gt;&lt;rec-number&gt;4678&lt;/rec-number&gt;&lt;foreign-keys&gt;&lt;key app="EN" db-id="vpxz00tdlevx91ed5v9vr5r6wxdvtpp92xa0" timestamp="1744352763"&gt;4678&lt;/key&gt;&lt;/foreign-keys&gt;&lt;ref-type name="Journal Article"&gt;17&lt;/ref-type&gt;&lt;contributors&gt;&lt;authors&gt;&lt;author&gt;Zhao, Xiao-Na&lt;/author&gt;&lt;author&gt;Huang, Zhuang-Song&lt;/author&gt;&lt;author&gt;Chen, Juan&lt;/author&gt;&lt;author&gt;Liu, Yu-Lei&lt;/author&gt;&lt;author&gt;He, Hai-Yang&lt;/author&gt;&lt;author&gt;Cui, Chongwei&lt;/author&gt;&lt;author&gt;Ma, Jun&lt;/author&gt;&lt;author&gt;Wang, Lu&lt;/author&gt;&lt;/authors&gt;&lt;/contributors&gt;&lt;titles&gt;&lt;title&gt;Differential Impacts of Pyrophosphate on Ferrates(VI, V, and IV): Through Its Unique Inhibition to Identify Fe(V) Species&lt;/title&gt;&lt;secondary-title&gt;Environmental Science &amp;amp; Technology&lt;/secondary-title&gt;&lt;/titles&gt;&lt;periodical&gt;&lt;full-title&gt;Environmental Science &amp;amp; Technology&lt;/full-title&gt;&lt;abbr-1&gt;Environ. Sci. Technol.&lt;/abbr-1&gt;&lt;/periodical&gt;&lt;pages&gt;7768-7778&lt;/pages&gt;&lt;volume&gt;59&lt;/volume&gt;&lt;number&gt;15&lt;/number&gt;&lt;dates&gt;&lt;year&gt;2025&lt;/year&gt;&lt;pub-dates&gt;&lt;date&gt;2025/04/10&lt;/date&gt;&lt;/pub-dates&gt;&lt;/dates&gt;&lt;publisher&gt;American Chemical Society&lt;/publisher&gt;&lt;isbn&gt;0013-936X&lt;/isbn&gt;&lt;urls&gt;&lt;related-urls&gt;&lt;url&gt;https://doi.org/10.1021/acs.est.5c00288&lt;/url&gt;&lt;/related-urls&gt;&lt;/urls&gt;&lt;electronic-resource-num&gt;10.1021/acs.est.5c00288&lt;/electronic-resource-num&gt;&lt;/record&gt;&lt;/Cite&gt;&lt;/EndNote&gt;</w:instrText>
      </w:r>
      <w:r>
        <w:rPr>
          <w:color w:val="000000"/>
          <w:sz w:val="24"/>
        </w:rPr>
        <w:fldChar w:fldCharType="separate"/>
      </w:r>
      <w:r>
        <w:rPr>
          <w:color w:val="000000"/>
          <w:sz w:val="24"/>
        </w:rPr>
        <w:t>(Zhao et al., 2025)</w:t>
      </w:r>
      <w:r>
        <w:rPr>
          <w:color w:val="000000"/>
          <w:sz w:val="24"/>
        </w:rPr>
        <w:fldChar w:fldCharType="end"/>
      </w:r>
      <w:r>
        <w:rPr>
          <w:color w:val="000000"/>
          <w:sz w:val="24"/>
        </w:rPr>
        <w:t xml:space="preserve">, this study develops a kinetic framework to quantify </w:t>
      </w:r>
      <w:r>
        <w:rPr>
          <w:rFonts w:hint="eastAsia"/>
          <w:color w:val="000000"/>
          <w:sz w:val="24"/>
        </w:rPr>
        <w:t>the</w:t>
      </w:r>
      <w:r>
        <w:rPr>
          <w:color w:val="000000"/>
          <w:sz w:val="24"/>
        </w:rPr>
        <w:t xml:space="preserve"> intrinsic </w:t>
      </w:r>
      <w:r>
        <w:rPr>
          <w:rFonts w:hint="eastAsia"/>
          <w:color w:val="000000"/>
          <w:sz w:val="24"/>
          <w:lang w:val="en-US" w:eastAsia="zh-CN"/>
        </w:rPr>
        <w:t xml:space="preserve">second-order </w:t>
      </w:r>
      <w:r>
        <w:rPr>
          <w:color w:val="000000"/>
          <w:sz w:val="24"/>
        </w:rPr>
        <w:t>rate constants</w:t>
      </w:r>
      <w:r>
        <w:rPr>
          <w:rFonts w:hint="eastAsia"/>
          <w:color w:val="000000"/>
          <w:sz w:val="24"/>
        </w:rPr>
        <w:t xml:space="preserve"> of</w:t>
      </w:r>
      <w:r>
        <w:rPr>
          <w:color w:val="000000"/>
          <w:sz w:val="24"/>
        </w:rPr>
        <w:t xml:space="preserve"> Fe(VI)</w:t>
      </w:r>
      <w:r>
        <w:rPr>
          <w:rFonts w:hint="eastAsia"/>
          <w:color w:val="000000"/>
          <w:sz w:val="24"/>
        </w:rPr>
        <w:t xml:space="preserve"> with </w:t>
      </w:r>
      <w:r>
        <w:rPr>
          <w:rFonts w:hint="eastAsia"/>
          <w:color w:val="000000"/>
          <w:sz w:val="24"/>
          <w:lang w:val="en-US" w:eastAsia="zh-CN"/>
        </w:rPr>
        <w:t xml:space="preserve">organic </w:t>
      </w:r>
      <w:r>
        <w:rPr>
          <w:color w:val="000000"/>
          <w:sz w:val="24"/>
        </w:rPr>
        <w:t>contaminant</w:t>
      </w:r>
      <w:r>
        <w:rPr>
          <w:rFonts w:hint="eastAsia"/>
          <w:color w:val="000000"/>
          <w:sz w:val="24"/>
          <w:lang w:val="en-US" w:eastAsia="zh-CN"/>
        </w:rPr>
        <w:t>s</w:t>
      </w:r>
      <w:r>
        <w:rPr>
          <w:rFonts w:hint="eastAsia"/>
          <w:color w:val="000000"/>
          <w:sz w:val="24"/>
        </w:rPr>
        <w:t xml:space="preserve"> (</w:t>
      </w:r>
      <w:r>
        <w:rPr>
          <w:rFonts w:hint="eastAsia"/>
          <w:i/>
          <w:iCs/>
          <w:color w:val="000000" w:themeColor="text1"/>
          <w:sz w:val="24"/>
          <w14:textFill>
            <w14:solidFill>
              <w14:schemeClr w14:val="tx1"/>
            </w14:solidFill>
          </w14:textFill>
        </w:rPr>
        <w:t>k</w:t>
      </w:r>
      <w:r>
        <w:rPr>
          <w:rFonts w:hint="eastAsia"/>
          <w:color w:val="000000" w:themeColor="text1"/>
          <w:sz w:val="24"/>
          <w:vertAlign w:val="subscript"/>
          <w14:textFill>
            <w14:solidFill>
              <w14:schemeClr w14:val="tx1"/>
            </w14:solidFill>
          </w14:textFill>
        </w:rPr>
        <w:t>Fe(VI)-OCs</w:t>
      </w:r>
      <w:r>
        <w:rPr>
          <w:rFonts w:hint="eastAsia"/>
          <w:color w:val="000000"/>
          <w:sz w:val="24"/>
        </w:rPr>
        <w:t>)</w:t>
      </w:r>
      <w:r>
        <w:rPr>
          <w:color w:val="000000"/>
          <w:sz w:val="24"/>
        </w:rPr>
        <w:t xml:space="preserve"> and to distinguish the contributions of Fe(VI), Fe(V), and Fe(IV), thereby clarifying </w:t>
      </w:r>
      <w:r>
        <w:rPr>
          <w:rFonts w:hint="eastAsia"/>
          <w:color w:val="000000"/>
          <w:sz w:val="24"/>
          <w:lang w:val="en-US" w:eastAsia="zh-CN"/>
        </w:rPr>
        <w:t xml:space="preserve">the </w:t>
      </w:r>
      <w:r>
        <w:rPr>
          <w:color w:val="000000"/>
          <w:sz w:val="24"/>
        </w:rPr>
        <w:t>ferrate reacti</w:t>
      </w:r>
      <w:r>
        <w:rPr>
          <w:rFonts w:hint="eastAsia"/>
          <w:color w:val="000000"/>
          <w:sz w:val="24"/>
          <w:lang w:val="en-US" w:eastAsia="zh-CN"/>
        </w:rPr>
        <w:t>on</w:t>
      </w:r>
      <w:r>
        <w:rPr>
          <w:color w:val="000000"/>
          <w:sz w:val="24"/>
        </w:rPr>
        <w:t xml:space="preserve"> selectivity.</w:t>
      </w:r>
    </w:p>
    <w:p w14:paraId="0E13A509">
      <w:pPr>
        <w:tabs>
          <w:tab w:val="left" w:pos="-879"/>
          <w:tab w:val="left" w:pos="0"/>
          <w:tab w:val="left" w:pos="788"/>
          <w:tab w:val="left" w:pos="1627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before="156" w:beforeLines="50" w:after="156" w:afterLines="50"/>
        <w:ind w:right="851"/>
        <w:outlineLvl w:val="0"/>
        <w:rPr>
          <w:b/>
          <w:bCs/>
          <w:sz w:val="24"/>
        </w:rPr>
      </w:pPr>
      <w:r>
        <w:rPr>
          <w:b/>
          <w:bCs/>
          <w:sz w:val="24"/>
        </w:rPr>
        <w:t>Materials and Methods</w:t>
      </w:r>
    </w:p>
    <w:p w14:paraId="22AF08D6">
      <w:pPr>
        <w:adjustRightInd w:val="0"/>
        <w:snapToGrid w:val="0"/>
        <w:spacing w:line="360" w:lineRule="auto"/>
        <w:ind w:firstLine="280" w:firstLineChars="117"/>
        <w:rPr>
          <w:color w:val="000000"/>
          <w:sz w:val="24"/>
        </w:rPr>
      </w:pPr>
      <w:r>
        <w:rPr>
          <w:color w:val="000000"/>
          <w:sz w:val="24"/>
        </w:rPr>
        <w:t xml:space="preserve">Potassium ferrate was prepared by wet chemical oxidation, and other chemicals were </w:t>
      </w:r>
      <w:r>
        <w:rPr>
          <w:rFonts w:hint="eastAsia"/>
          <w:color w:val="000000"/>
          <w:sz w:val="24"/>
        </w:rPr>
        <w:t>purchased</w:t>
      </w:r>
      <w:r>
        <w:rPr>
          <w:color w:val="000000"/>
          <w:sz w:val="24"/>
        </w:rPr>
        <w:t xml:space="preserve">. </w:t>
      </w:r>
      <w:r>
        <w:rPr>
          <w:rFonts w:hint="eastAsia"/>
          <w:color w:val="000000"/>
          <w:sz w:val="24"/>
          <w:lang w:val="en-US" w:eastAsia="zh-CN"/>
        </w:rPr>
        <w:t>Batch kinetics e</w:t>
      </w:r>
      <w:r>
        <w:rPr>
          <w:color w:val="000000"/>
          <w:sz w:val="24"/>
        </w:rPr>
        <w:t xml:space="preserve">xperiments were conducted in 10 mM borate buffer with 1 mM pyrophosphate to suppress Fe(V).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Kinetic fitting and simulation were carried out by Kintecus.</w:t>
      </w:r>
    </w:p>
    <w:p w14:paraId="2FF2C6EB">
      <w:pPr>
        <w:tabs>
          <w:tab w:val="left" w:pos="-879"/>
          <w:tab w:val="left" w:pos="0"/>
          <w:tab w:val="left" w:pos="788"/>
          <w:tab w:val="left" w:pos="1627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before="156" w:beforeLines="50" w:after="156" w:afterLines="50"/>
        <w:ind w:right="851"/>
        <w:outlineLvl w:val="0"/>
        <w:rPr>
          <w:b/>
          <w:bCs/>
          <w:sz w:val="24"/>
        </w:rPr>
      </w:pPr>
      <w:r>
        <w:rPr>
          <w:b/>
          <w:bCs/>
          <w:sz w:val="24"/>
        </w:rPr>
        <w:t>Results and Discussion</w:t>
      </w:r>
    </w:p>
    <w:p w14:paraId="5628847A">
      <w:pPr>
        <w:adjustRightInd w:val="0"/>
        <w:snapToGrid w:val="0"/>
        <w:spacing w:line="360" w:lineRule="auto"/>
        <w:ind w:firstLine="280" w:firstLineChars="117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By sequestering Fe(V) with pyrophosphate, three distinct trends were observed between the apparent </w:t>
      </w: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second-order 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rate constant (</w:t>
      </w:r>
      <w:r>
        <w:rPr>
          <w:rFonts w:hint="eastAsia"/>
          <w:i/>
          <w:iCs/>
          <w:color w:val="000000" w:themeColor="text1"/>
          <w:sz w:val="24"/>
          <w14:textFill>
            <w14:solidFill>
              <w14:schemeClr w14:val="tx1"/>
            </w14:solidFill>
          </w14:textFill>
        </w:rPr>
        <w:t>k</w:t>
      </w:r>
      <w:r>
        <w:rPr>
          <w:rFonts w:hint="eastAsia"/>
          <w:color w:val="000000" w:themeColor="text1"/>
          <w:sz w:val="24"/>
          <w:vertAlign w:val="subscript"/>
          <w14:textFill>
            <w14:solidFill>
              <w14:schemeClr w14:val="tx1"/>
            </w14:solidFill>
          </w14:textFill>
        </w:rPr>
        <w:t>app,OCs,PP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) and the OCs/Fe(VI) molar ratio: positive, negative, or negligible dependence. Kinetic simulations showed that these trends are governed by the relative reactivity of Fe(IV)</w:t>
      </w: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and enabled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the 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establishment of quantitative relationships between </w:t>
      </w:r>
      <w:r>
        <w:rPr>
          <w:rFonts w:hint="eastAsia"/>
          <w:i/>
          <w:iCs/>
          <w:color w:val="000000" w:themeColor="text1"/>
          <w:sz w:val="24"/>
          <w14:textFill>
            <w14:solidFill>
              <w14:schemeClr w14:val="tx1"/>
            </w14:solidFill>
          </w14:textFill>
        </w:rPr>
        <w:t>k</w:t>
      </w:r>
      <w:r>
        <w:rPr>
          <w:rFonts w:hint="eastAsia"/>
          <w:color w:val="000000" w:themeColor="text1"/>
          <w:sz w:val="24"/>
          <w:vertAlign w:val="subscript"/>
          <w14:textFill>
            <w14:solidFill>
              <w14:schemeClr w14:val="tx1"/>
            </w14:solidFill>
          </w14:textFill>
        </w:rPr>
        <w:t>app,OCs,PP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and </w:t>
      </w:r>
      <w:r>
        <w:rPr>
          <w:rFonts w:hint="eastAsia"/>
          <w:i/>
          <w:iCs/>
          <w:color w:val="000000" w:themeColor="text1"/>
          <w:sz w:val="24"/>
          <w14:textFill>
            <w14:solidFill>
              <w14:schemeClr w14:val="tx1"/>
            </w14:solidFill>
          </w14:textFill>
        </w:rPr>
        <w:t>k</w:t>
      </w:r>
      <w:r>
        <w:rPr>
          <w:rFonts w:hint="eastAsia"/>
          <w:color w:val="000000" w:themeColor="text1"/>
          <w:sz w:val="24"/>
          <w:vertAlign w:val="subscript"/>
          <w14:textFill>
            <w14:solidFill>
              <w14:schemeClr w14:val="tx1"/>
            </w14:solidFill>
          </w14:textFill>
        </w:rPr>
        <w:t>Fe(VI)-OCs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. When </w:t>
      </w:r>
      <w:r>
        <w:rPr>
          <w:rFonts w:hint="eastAsia"/>
          <w:i/>
          <w:iCs/>
          <w:color w:val="000000" w:themeColor="text1"/>
          <w:sz w:val="24"/>
          <w14:textFill>
            <w14:solidFill>
              <w14:schemeClr w14:val="tx1"/>
            </w14:solidFill>
          </w14:textFill>
        </w:rPr>
        <w:t>k</w:t>
      </w:r>
      <w:r>
        <w:rPr>
          <w:rFonts w:hint="eastAsia"/>
          <w:color w:val="000000" w:themeColor="text1"/>
          <w:sz w:val="24"/>
          <w:vertAlign w:val="subscript"/>
          <w14:textFill>
            <w14:solidFill>
              <w14:schemeClr w14:val="tx1"/>
            </w14:solidFill>
          </w14:textFill>
        </w:rPr>
        <w:t>app,OCs,PP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increases with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the 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OCs/Fe(VI)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ratio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, its lower-limit value approximates </w:t>
      </w:r>
      <w:r>
        <w:rPr>
          <w:rFonts w:hint="eastAsia"/>
          <w:i/>
          <w:iCs/>
          <w:color w:val="000000" w:themeColor="text1"/>
          <w:sz w:val="24"/>
          <w14:textFill>
            <w14:solidFill>
              <w14:schemeClr w14:val="tx1"/>
            </w14:solidFill>
          </w14:textFill>
        </w:rPr>
        <w:t>k</w:t>
      </w:r>
      <w:r>
        <w:rPr>
          <w:rFonts w:hint="eastAsia"/>
          <w:color w:val="000000" w:themeColor="text1"/>
          <w:sz w:val="24"/>
          <w:vertAlign w:val="subscript"/>
          <w14:textFill>
            <w14:solidFill>
              <w14:schemeClr w14:val="tx1"/>
            </w14:solidFill>
          </w14:textFill>
        </w:rPr>
        <w:t>Fe(VI)-OCs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. When a negative correlation is observed, the lower limit at high OCs/Fe(VI) ratios approaches 2</w:t>
      </w:r>
      <w:r>
        <w:rPr>
          <w:rFonts w:hint="eastAsia"/>
          <w:i/>
          <w:iCs/>
          <w:color w:val="000000" w:themeColor="text1"/>
          <w:sz w:val="24"/>
          <w14:textFill>
            <w14:solidFill>
              <w14:schemeClr w14:val="tx1"/>
            </w14:solidFill>
          </w14:textFill>
        </w:rPr>
        <w:t>k</w:t>
      </w:r>
      <w:r>
        <w:rPr>
          <w:rFonts w:hint="eastAsia"/>
          <w:color w:val="000000" w:themeColor="text1"/>
          <w:sz w:val="24"/>
          <w:vertAlign w:val="subscript"/>
          <w14:textFill>
            <w14:solidFill>
              <w14:schemeClr w14:val="tx1"/>
            </w14:solidFill>
          </w14:textFill>
        </w:rPr>
        <w:t>Fe(VI)-OCs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for two-electron contaminants, but remains close to </w:t>
      </w:r>
      <w:r>
        <w:rPr>
          <w:rFonts w:hint="eastAsia"/>
          <w:i/>
          <w:iCs/>
          <w:color w:val="000000" w:themeColor="text1"/>
          <w:sz w:val="24"/>
          <w14:textFill>
            <w14:solidFill>
              <w14:schemeClr w14:val="tx1"/>
            </w14:solidFill>
          </w14:textFill>
        </w:rPr>
        <w:t>k</w:t>
      </w:r>
      <w:r>
        <w:rPr>
          <w:rFonts w:hint="eastAsia"/>
          <w:color w:val="000000" w:themeColor="text1"/>
          <w:sz w:val="24"/>
          <w:vertAlign w:val="subscript"/>
          <w14:textFill>
            <w14:solidFill>
              <w14:schemeClr w14:val="tx1"/>
            </w14:solidFill>
          </w14:textFill>
        </w:rPr>
        <w:t>Fe(VI)-OCs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for one-electron contaminants. If </w:t>
      </w:r>
      <w:r>
        <w:rPr>
          <w:rFonts w:hint="eastAsia"/>
          <w:i/>
          <w:iCs/>
          <w:color w:val="000000" w:themeColor="text1"/>
          <w:sz w:val="24"/>
          <w14:textFill>
            <w14:solidFill>
              <w14:schemeClr w14:val="tx1"/>
            </w14:solidFill>
          </w14:textFill>
        </w:rPr>
        <w:t>k</w:t>
      </w:r>
      <w:r>
        <w:rPr>
          <w:rFonts w:hint="eastAsia"/>
          <w:color w:val="000000" w:themeColor="text1"/>
          <w:sz w:val="24"/>
          <w:vertAlign w:val="subscript"/>
          <w14:textFill>
            <w14:solidFill>
              <w14:schemeClr w14:val="tx1"/>
            </w14:solidFill>
          </w14:textFill>
        </w:rPr>
        <w:t>app,OCs,PP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is independent of the molar ratio, it remains near </w:t>
      </w:r>
      <w:r>
        <w:rPr>
          <w:rFonts w:hint="eastAsia"/>
          <w:i/>
          <w:iCs/>
          <w:color w:val="000000" w:themeColor="text1"/>
          <w:sz w:val="24"/>
          <w14:textFill>
            <w14:solidFill>
              <w14:schemeClr w14:val="tx1"/>
            </w14:solidFill>
          </w14:textFill>
        </w:rPr>
        <w:t>k</w:t>
      </w:r>
      <w:r>
        <w:rPr>
          <w:rFonts w:hint="eastAsia"/>
          <w:color w:val="000000" w:themeColor="text1"/>
          <w:sz w:val="24"/>
          <w:vertAlign w:val="subscript"/>
          <w14:textFill>
            <w14:solidFill>
              <w14:schemeClr w14:val="tx1"/>
            </w14:solidFill>
          </w14:textFill>
        </w:rPr>
        <w:t>Fe(VI)-OCs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(one-electron OCs) 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or 2</w:t>
      </w:r>
      <w:r>
        <w:rPr>
          <w:rFonts w:hint="eastAsia"/>
          <w:i/>
          <w:iCs/>
          <w:color w:val="000000" w:themeColor="text1"/>
          <w:sz w:val="24"/>
          <w14:textFill>
            <w14:solidFill>
              <w14:schemeClr w14:val="tx1"/>
            </w14:solidFill>
          </w14:textFill>
        </w:rPr>
        <w:t>k</w:t>
      </w:r>
      <w:r>
        <w:rPr>
          <w:rFonts w:hint="eastAsia"/>
          <w:color w:val="000000" w:themeColor="text1"/>
          <w:sz w:val="24"/>
          <w:vertAlign w:val="subscript"/>
          <w14:textFill>
            <w14:solidFill>
              <w14:schemeClr w14:val="tx1"/>
            </w14:solidFill>
          </w14:textFill>
        </w:rPr>
        <w:t>Fe(VI)-OCs</w:t>
      </w:r>
      <w:r>
        <w:rPr>
          <w:rFonts w:hint="eastAsia"/>
          <w:color w:val="000000" w:themeColor="text1"/>
          <w:sz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(two-electron OCs)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.</w:t>
      </w:r>
    </w:p>
    <w:p w14:paraId="6B6F12DC">
      <w:pPr>
        <w:adjustRightInd w:val="0"/>
        <w:snapToGrid w:val="0"/>
        <w:spacing w:line="360" w:lineRule="auto"/>
        <w:ind w:firstLine="280" w:firstLineChars="117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Based on these relationships, a kinetic approximation method was proposed to estimate </w:t>
      </w:r>
      <w:r>
        <w:rPr>
          <w:rFonts w:hint="eastAsia"/>
          <w:i/>
          <w:iCs/>
          <w:color w:val="000000" w:themeColor="text1"/>
          <w:sz w:val="24"/>
          <w14:textFill>
            <w14:solidFill>
              <w14:schemeClr w14:val="tx1"/>
            </w14:solidFill>
          </w14:textFill>
        </w:rPr>
        <w:t>k</w:t>
      </w:r>
      <w:r>
        <w:rPr>
          <w:rFonts w:hint="eastAsia"/>
          <w:color w:val="000000" w:themeColor="text1"/>
          <w:sz w:val="24"/>
          <w:vertAlign w:val="subscript"/>
          <w14:textFill>
            <w14:solidFill>
              <w14:schemeClr w14:val="tx1"/>
            </w14:solidFill>
          </w14:textFill>
        </w:rPr>
        <w:t>Fe(VI)-OCs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(i) examining </w:t>
      </w:r>
      <w:r>
        <w:rPr>
          <w:rFonts w:hint="eastAsia"/>
          <w:i/>
          <w:iCs/>
          <w:color w:val="000000" w:themeColor="text1"/>
          <w:sz w:val="24"/>
          <w14:textFill>
            <w14:solidFill>
              <w14:schemeClr w14:val="tx1"/>
            </w14:solidFill>
          </w14:textFill>
        </w:rPr>
        <w:t>k</w:t>
      </w:r>
      <w:r>
        <w:rPr>
          <w:rFonts w:hint="eastAsia"/>
          <w:color w:val="000000" w:themeColor="text1"/>
          <w:sz w:val="24"/>
          <w:vertAlign w:val="subscript"/>
          <w14:textFill>
            <w14:solidFill>
              <w14:schemeClr w14:val="tx1"/>
            </w14:solidFill>
          </w14:textFill>
        </w:rPr>
        <w:t>app,OCs,PP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variation with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the 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OCs/Fe(VI)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ratio 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under Fe(V) sequestration, (ii) identifying the dominant electron-transfer pathway via stoichiometric analysis, (iii) analyzing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the 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quantitative relationship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between </w:t>
      </w:r>
      <w:r>
        <w:rPr>
          <w:rFonts w:hint="eastAsia"/>
          <w:i/>
          <w:iCs/>
          <w:color w:val="000000" w:themeColor="text1"/>
          <w:sz w:val="24"/>
          <w14:textFill>
            <w14:solidFill>
              <w14:schemeClr w14:val="tx1"/>
            </w14:solidFill>
          </w14:textFill>
        </w:rPr>
        <w:t>k</w:t>
      </w:r>
      <w:r>
        <w:rPr>
          <w:rFonts w:hint="eastAsia"/>
          <w:color w:val="000000" w:themeColor="text1"/>
          <w:sz w:val="24"/>
          <w:vertAlign w:val="subscript"/>
          <w14:textFill>
            <w14:solidFill>
              <w14:schemeClr w14:val="tx1"/>
            </w14:solidFill>
          </w14:textFill>
        </w:rPr>
        <w:t>app,OCs,PP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and </w:t>
      </w:r>
      <w:r>
        <w:rPr>
          <w:rFonts w:hint="eastAsia"/>
          <w:i/>
          <w:iCs/>
          <w:color w:val="000000" w:themeColor="text1"/>
          <w:sz w:val="24"/>
          <w14:textFill>
            <w14:solidFill>
              <w14:schemeClr w14:val="tx1"/>
            </w14:solidFill>
          </w14:textFill>
        </w:rPr>
        <w:t>k</w:t>
      </w:r>
      <w:r>
        <w:rPr>
          <w:rFonts w:hint="eastAsia"/>
          <w:color w:val="000000" w:themeColor="text1"/>
          <w:sz w:val="24"/>
          <w:vertAlign w:val="subscript"/>
          <w14:textFill>
            <w14:solidFill>
              <w14:schemeClr w14:val="tx1"/>
            </w14:solidFill>
          </w14:textFill>
        </w:rPr>
        <w:t>Fe(VI)-OCs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; and (iv) 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determining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the a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pproximate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value of </w:t>
      </w:r>
      <w:r>
        <w:rPr>
          <w:rFonts w:hint="eastAsia"/>
          <w:i/>
          <w:iCs/>
          <w:color w:val="000000" w:themeColor="text1"/>
          <w:sz w:val="24"/>
          <w14:textFill>
            <w14:solidFill>
              <w14:schemeClr w14:val="tx1"/>
            </w14:solidFill>
          </w14:textFill>
        </w:rPr>
        <w:t>k</w:t>
      </w:r>
      <w:r>
        <w:rPr>
          <w:rFonts w:hint="eastAsia"/>
          <w:color w:val="000000" w:themeColor="text1"/>
          <w:sz w:val="24"/>
          <w:vertAlign w:val="subscript"/>
          <w14:textFill>
            <w14:solidFill>
              <w14:schemeClr w14:val="tx1"/>
            </w14:solidFill>
          </w14:textFill>
        </w:rPr>
        <w:t>Fe(VI)-OCs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.</w:t>
      </w:r>
    </w:p>
    <w:p w14:paraId="08FC33E7">
      <w:pPr>
        <w:adjustRightInd w:val="0"/>
        <w:snapToGrid w:val="0"/>
        <w:spacing w:line="360" w:lineRule="auto"/>
        <w:jc w:val="center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drawing>
          <wp:inline distT="0" distB="0" distL="0" distR="0">
            <wp:extent cx="2251710" cy="1799590"/>
            <wp:effectExtent l="0" t="0" r="0" b="0"/>
            <wp:docPr id="76414354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4143548" name="图片 3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2208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5FCD87">
      <w:pPr>
        <w:adjustRightInd w:val="0"/>
        <w:snapToGrid w:val="0"/>
        <w:spacing w:line="360" w:lineRule="auto"/>
        <w:jc w:val="center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F</w:t>
      </w: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igure 1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. </w:t>
      </w:r>
      <w:bookmarkStart w:id="1" w:name="_Hlk216786891"/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R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elationship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between </w:t>
      </w:r>
      <w:r>
        <w:rPr>
          <w:rFonts w:hint="eastAsia"/>
          <w:i/>
          <w:iCs/>
          <w:color w:val="000000" w:themeColor="text1"/>
          <w:sz w:val="24"/>
          <w14:textFill>
            <w14:solidFill>
              <w14:schemeClr w14:val="tx1"/>
            </w14:solidFill>
          </w14:textFill>
        </w:rPr>
        <w:t>k</w:t>
      </w:r>
      <w:r>
        <w:rPr>
          <w:rFonts w:hint="eastAsia"/>
          <w:color w:val="000000" w:themeColor="text1"/>
          <w:sz w:val="24"/>
          <w:vertAlign w:val="subscript"/>
          <w14:textFill>
            <w14:solidFill>
              <w14:schemeClr w14:val="tx1"/>
            </w14:solidFill>
          </w14:textFill>
        </w:rPr>
        <w:t>app,OCs,PP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and </w:t>
      </w:r>
      <w:r>
        <w:rPr>
          <w:rFonts w:hint="eastAsia"/>
          <w:i/>
          <w:iCs/>
          <w:color w:val="000000" w:themeColor="text1"/>
          <w:sz w:val="24"/>
          <w14:textFill>
            <w14:solidFill>
              <w14:schemeClr w14:val="tx1"/>
            </w14:solidFill>
          </w14:textFill>
        </w:rPr>
        <w:t>k</w:t>
      </w:r>
      <w:r>
        <w:rPr>
          <w:rFonts w:hint="eastAsia"/>
          <w:color w:val="000000" w:themeColor="text1"/>
          <w:sz w:val="24"/>
          <w:vertAlign w:val="subscript"/>
          <w14:textFill>
            <w14:solidFill>
              <w14:schemeClr w14:val="tx1"/>
            </w14:solidFill>
          </w14:textFill>
        </w:rPr>
        <w:t>Fe(VI)-OCs</w:t>
      </w:r>
      <w:bookmarkEnd w:id="1"/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.</w:t>
      </w:r>
    </w:p>
    <w:p w14:paraId="5040AD52">
      <w:pPr>
        <w:adjustRightInd w:val="0"/>
        <w:snapToGrid w:val="0"/>
        <w:spacing w:line="360" w:lineRule="auto"/>
        <w:ind w:firstLine="280" w:firstLineChars="117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Building on this, a targeted sequestered kinetic method was developed to quantify the individual contributions of Fe(VI), Fe(V), and Fe(IV): Fe(V) contributions were obtained using pyrophosphate, Fe(VI) contributions were calculated from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the 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estimated </w:t>
      </w:r>
      <w:r>
        <w:rPr>
          <w:rFonts w:hint="eastAsia"/>
          <w:i/>
          <w:iCs/>
          <w:color w:val="000000" w:themeColor="text1"/>
          <w:sz w:val="24"/>
          <w14:textFill>
            <w14:solidFill>
              <w14:schemeClr w14:val="tx1"/>
            </w14:solidFill>
          </w14:textFill>
        </w:rPr>
        <w:t>k</w:t>
      </w:r>
      <w:r>
        <w:rPr>
          <w:rFonts w:hint="eastAsia"/>
          <w:color w:val="000000" w:themeColor="text1"/>
          <w:sz w:val="24"/>
          <w:vertAlign w:val="subscript"/>
          <w14:textFill>
            <w14:solidFill>
              <w14:schemeClr w14:val="tx1"/>
            </w14:solidFill>
          </w14:textFill>
        </w:rPr>
        <w:t>Fe(VI)-OCs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, and Fe(IV) contributions were derived by subtraction. Validation with methyl phenyl sulfoxide showed good agreement with kinetic model simulations.</w:t>
      </w:r>
    </w:p>
    <w:p w14:paraId="025E70A8">
      <w:pPr>
        <w:adjustRightInd w:val="0"/>
        <w:snapToGrid w:val="0"/>
        <w:spacing w:line="360" w:lineRule="auto"/>
        <w:jc w:val="center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9450" cy="996950"/>
            <wp:effectExtent l="0" t="0" r="0" b="0"/>
            <wp:docPr id="21073023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30233" name="图片 4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99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A3D072">
      <w:pPr>
        <w:adjustRightInd w:val="0"/>
        <w:snapToGrid w:val="0"/>
        <w:spacing w:line="360" w:lineRule="auto"/>
        <w:jc w:val="center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/>
          <w:sz w:val="24"/>
        </w:rPr>
        <w:t>F</w:t>
      </w:r>
      <w:r>
        <w:rPr>
          <w:rFonts w:hint="eastAsia"/>
          <w:b/>
          <w:bCs/>
          <w:color w:val="000000"/>
          <w:sz w:val="24"/>
        </w:rPr>
        <w:t>igure 2.</w:t>
      </w:r>
      <w:r>
        <w:rPr>
          <w:rFonts w:hint="eastAsia"/>
          <w:color w:val="000000"/>
          <w:sz w:val="24"/>
        </w:rPr>
        <w:t xml:space="preserve">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B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at</w:t>
      </w: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c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h</w:t>
      </w: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kinetics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approach to identify the roles of different high-valent iron species.</w:t>
      </w:r>
    </w:p>
    <w:p w14:paraId="4DA5D0FB">
      <w:pPr>
        <w:tabs>
          <w:tab w:val="left" w:pos="-879"/>
          <w:tab w:val="left" w:pos="0"/>
          <w:tab w:val="left" w:pos="788"/>
          <w:tab w:val="left" w:pos="1627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before="156" w:beforeLines="50" w:after="156" w:afterLines="50"/>
        <w:ind w:right="851"/>
        <w:outlineLvl w:val="0"/>
        <w:rPr>
          <w:b/>
          <w:bCs/>
          <w:sz w:val="24"/>
        </w:rPr>
      </w:pPr>
      <w:r>
        <w:rPr>
          <w:b/>
          <w:bCs/>
          <w:sz w:val="24"/>
        </w:rPr>
        <w:t>Conclusions</w:t>
      </w:r>
    </w:p>
    <w:p w14:paraId="6D4F16C1">
      <w:pPr>
        <w:adjustRightInd w:val="0"/>
        <w:snapToGrid w:val="0"/>
        <w:spacing w:line="360" w:lineRule="auto"/>
        <w:ind w:firstLine="280" w:firstLineChars="117"/>
        <w:rPr>
          <w:color w:val="000000"/>
          <w:sz w:val="24"/>
        </w:rPr>
      </w:pPr>
      <w:r>
        <w:rPr>
          <w:color w:val="000000"/>
          <w:sz w:val="24"/>
        </w:rPr>
        <w:t xml:space="preserve">This study developed a targeted sequestered kinetic method to quantitatively distinguish the contributions of Fe(VI), Fe(V), and Fe(IV) </w:t>
      </w:r>
      <w:r>
        <w:rPr>
          <w:rFonts w:hint="eastAsia"/>
          <w:color w:val="000000"/>
          <w:sz w:val="24"/>
          <w:lang w:val="en-US" w:eastAsia="zh-CN"/>
        </w:rPr>
        <w:t>during</w:t>
      </w:r>
      <w:r>
        <w:rPr>
          <w:color w:val="000000"/>
          <w:sz w:val="24"/>
        </w:rPr>
        <w:t xml:space="preserve"> ferrate oxidation. Distinct relationships between apparent rate constants and OCs/Fe(VI) ratios reflect the relative reactivity of Fe(IV) and enable estimation of intrinsic Fe(VI) rate constants. The method overcomes limitations of conventional kinetic modeling and reveals selective oxidation by high-valent iron species, providing a basis for precision design and optimi</w:t>
      </w:r>
      <w:bookmarkStart w:id="2" w:name="_GoBack"/>
      <w:bookmarkEnd w:id="2"/>
      <w:r>
        <w:rPr>
          <w:color w:val="000000"/>
          <w:sz w:val="24"/>
        </w:rPr>
        <w:t>zation of ferrate-based treatment processes.</w:t>
      </w:r>
    </w:p>
    <w:p w14:paraId="0E28E7B2">
      <w:pPr>
        <w:tabs>
          <w:tab w:val="left" w:pos="-879"/>
          <w:tab w:val="left" w:pos="0"/>
          <w:tab w:val="left" w:pos="788"/>
          <w:tab w:val="left" w:pos="1627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before="156" w:beforeLines="50" w:after="156" w:afterLines="50"/>
        <w:ind w:right="851"/>
        <w:outlineLvl w:val="0"/>
        <w:rPr>
          <w:b/>
          <w:bCs/>
          <w:sz w:val="24"/>
        </w:rPr>
      </w:pPr>
      <w:r>
        <w:rPr>
          <w:b/>
          <w:bCs/>
          <w:sz w:val="24"/>
        </w:rPr>
        <w:t>References</w:t>
      </w:r>
    </w:p>
    <w:p w14:paraId="0A138E63">
      <w:pPr>
        <w:pStyle w:val="24"/>
        <w:adjustRightInd w:val="0"/>
        <w:snapToGrid w:val="0"/>
        <w:ind w:left="360" w:hanging="360" w:hangingChars="200"/>
        <w:rPr>
          <w:i/>
          <w:iCs/>
          <w:color w:val="7030A0"/>
          <w:sz w:val="18"/>
          <w:szCs w:val="18"/>
        </w:rPr>
      </w:pPr>
      <w:r>
        <w:rPr>
          <w:i/>
          <w:iCs/>
          <w:color w:val="7030A0"/>
          <w:sz w:val="18"/>
          <w:szCs w:val="18"/>
        </w:rPr>
        <w:fldChar w:fldCharType="begin"/>
      </w:r>
      <w:r>
        <w:rPr>
          <w:i/>
          <w:iCs/>
          <w:color w:val="7030A0"/>
          <w:sz w:val="18"/>
          <w:szCs w:val="18"/>
        </w:rPr>
        <w:instrText xml:space="preserve"> ADDIN EN.REFLIST </w:instrText>
      </w:r>
      <w:r>
        <w:rPr>
          <w:i/>
          <w:iCs/>
          <w:color w:val="7030A0"/>
          <w:sz w:val="18"/>
          <w:szCs w:val="18"/>
        </w:rPr>
        <w:fldChar w:fldCharType="separate"/>
      </w:r>
      <w:r>
        <w:t>Zhao, X.-N., Huang, Z.-S., Chen, J., Liu, Y.-L., He, H.-Y., Cui, C., Ma, J. and Wang, L.</w:t>
      </w:r>
      <w:r>
        <w:rPr>
          <w:rFonts w:hint="eastAsia"/>
        </w:rPr>
        <w:t>,</w:t>
      </w:r>
      <w:r>
        <w:t xml:space="preserve"> 2025. Differential Impacts of Pyrophosphate on Ferrates(VI, V, and IV): Through Its Unique Inhibition to Identify Fe(V) Species. Environ. Sci. Technol. 59(15), 7768-7778.</w:t>
      </w:r>
      <w:r>
        <w:rPr>
          <w:i/>
          <w:iCs/>
          <w:color w:val="7030A0"/>
          <w:sz w:val="18"/>
          <w:szCs w:val="18"/>
        </w:rPr>
        <w:fldChar w:fldCharType="end"/>
      </w:r>
    </w:p>
    <w:sectPr>
      <w:headerReference r:id="rId3" w:type="default"/>
      <w:footerReference r:id="rId4" w:type="default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FangSong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7FF2FF">
    <w:pPr>
      <w:pStyle w:val="5"/>
      <w:jc w:val="center"/>
      <w:rPr>
        <w:sz w:val="20"/>
        <w:szCs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53115695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4656D91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0.35pt;width:4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M+L3UTQAAAAAgEAAA8AAAAAAAAAAQAgAAAAIgAA&#10;AGRycy9kb3ducmV2LnhtbFBLAQIUABQAAAAIAIdO4kAFTKQREAIAAAoEAAAOAAAAAAAAAAEAIAAA&#10;AB8BAABkcnMvZTJvRG9jLnhtbFBLBQYAAAAABgAGAFkBAAC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4656D91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7DF166">
    <w:pPr>
      <w:pStyle w:val="6"/>
      <w:rPr>
        <w:color w:val="444444"/>
      </w:rPr>
    </w:pPr>
    <w:r>
      <w:rPr>
        <w:color w:val="444444"/>
      </w:rPr>
      <w:t>5th International Conference on Disinfection and DBPs: Advancements in Disinfection Systems Towards Safe Drinking Water and Water Reuse</w:t>
    </w:r>
  </w:p>
  <w:p w14:paraId="78A2852E">
    <w:pPr>
      <w:pStyle w:val="6"/>
    </w:pPr>
    <w:r>
      <w:rPr>
        <w:rFonts w:hint="eastAsia"/>
        <w:color w:val="444444"/>
      </w:rPr>
      <w:t>Shanghai</w:t>
    </w:r>
    <w:r>
      <w:rPr>
        <w:color w:val="444444"/>
      </w:rPr>
      <w:t>, China,</w:t>
    </w:r>
    <w:r>
      <w:rPr>
        <w:rFonts w:hint="eastAsia"/>
        <w:color w:val="444444"/>
      </w:rPr>
      <w:t xml:space="preserve"> July 7th to 11th, 2026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Water Research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pxz00tdlevx91ed5v9vr5r6wxdvtpp92xa0&quot;&gt;未定方向&lt;record-ids&gt;&lt;item&gt;4678&lt;/item&gt;&lt;/record-ids&gt;&lt;/item&gt;&lt;/Libraries&gt;"/>
  </w:docVars>
  <w:rsids>
    <w:rsidRoot w:val="006650FC"/>
    <w:rsid w:val="00015AA9"/>
    <w:rsid w:val="00050E16"/>
    <w:rsid w:val="00080757"/>
    <w:rsid w:val="0008601F"/>
    <w:rsid w:val="000A105F"/>
    <w:rsid w:val="000C0A4F"/>
    <w:rsid w:val="000D360C"/>
    <w:rsid w:val="000E46B5"/>
    <w:rsid w:val="00107982"/>
    <w:rsid w:val="0011364C"/>
    <w:rsid w:val="00117D46"/>
    <w:rsid w:val="00143C40"/>
    <w:rsid w:val="00150D8E"/>
    <w:rsid w:val="00161AE0"/>
    <w:rsid w:val="00163D6E"/>
    <w:rsid w:val="001653EA"/>
    <w:rsid w:val="00165757"/>
    <w:rsid w:val="001676E0"/>
    <w:rsid w:val="00181740"/>
    <w:rsid w:val="00183BA6"/>
    <w:rsid w:val="001B5CAA"/>
    <w:rsid w:val="001B662A"/>
    <w:rsid w:val="001C0322"/>
    <w:rsid w:val="001C3237"/>
    <w:rsid w:val="001E2E79"/>
    <w:rsid w:val="00206867"/>
    <w:rsid w:val="00212C4A"/>
    <w:rsid w:val="00216812"/>
    <w:rsid w:val="00246FCA"/>
    <w:rsid w:val="002870EB"/>
    <w:rsid w:val="00292733"/>
    <w:rsid w:val="002B6D66"/>
    <w:rsid w:val="002C0245"/>
    <w:rsid w:val="002D4B14"/>
    <w:rsid w:val="00306884"/>
    <w:rsid w:val="00314F38"/>
    <w:rsid w:val="0034417C"/>
    <w:rsid w:val="00345750"/>
    <w:rsid w:val="00393CDF"/>
    <w:rsid w:val="003A3C1B"/>
    <w:rsid w:val="003B6E46"/>
    <w:rsid w:val="003F4D90"/>
    <w:rsid w:val="00403B08"/>
    <w:rsid w:val="0041412E"/>
    <w:rsid w:val="004201D9"/>
    <w:rsid w:val="00443766"/>
    <w:rsid w:val="004563A9"/>
    <w:rsid w:val="00462302"/>
    <w:rsid w:val="004746D6"/>
    <w:rsid w:val="00480F98"/>
    <w:rsid w:val="00491783"/>
    <w:rsid w:val="004A41C5"/>
    <w:rsid w:val="004C774E"/>
    <w:rsid w:val="004E49CC"/>
    <w:rsid w:val="004F04A3"/>
    <w:rsid w:val="004F0B66"/>
    <w:rsid w:val="004F5761"/>
    <w:rsid w:val="0050370F"/>
    <w:rsid w:val="00522E8E"/>
    <w:rsid w:val="00524312"/>
    <w:rsid w:val="00526C77"/>
    <w:rsid w:val="00532E1E"/>
    <w:rsid w:val="00535A3C"/>
    <w:rsid w:val="00542372"/>
    <w:rsid w:val="005473C6"/>
    <w:rsid w:val="00565735"/>
    <w:rsid w:val="00566637"/>
    <w:rsid w:val="005735A6"/>
    <w:rsid w:val="005924A8"/>
    <w:rsid w:val="005B1C44"/>
    <w:rsid w:val="005B1D6F"/>
    <w:rsid w:val="005B4F94"/>
    <w:rsid w:val="005C108D"/>
    <w:rsid w:val="005C1B6D"/>
    <w:rsid w:val="00612E89"/>
    <w:rsid w:val="00635DE3"/>
    <w:rsid w:val="00635E34"/>
    <w:rsid w:val="006479A7"/>
    <w:rsid w:val="006523A2"/>
    <w:rsid w:val="00662C8D"/>
    <w:rsid w:val="006650FC"/>
    <w:rsid w:val="006D6FEB"/>
    <w:rsid w:val="006E6628"/>
    <w:rsid w:val="006E7FF9"/>
    <w:rsid w:val="00710195"/>
    <w:rsid w:val="00730A6C"/>
    <w:rsid w:val="00735D95"/>
    <w:rsid w:val="00740473"/>
    <w:rsid w:val="00756CA5"/>
    <w:rsid w:val="00775E3C"/>
    <w:rsid w:val="007904B7"/>
    <w:rsid w:val="007A04DD"/>
    <w:rsid w:val="007A4E44"/>
    <w:rsid w:val="007E51DD"/>
    <w:rsid w:val="00811153"/>
    <w:rsid w:val="00832CD5"/>
    <w:rsid w:val="00863E98"/>
    <w:rsid w:val="008740E1"/>
    <w:rsid w:val="008859BC"/>
    <w:rsid w:val="0088769D"/>
    <w:rsid w:val="008B7260"/>
    <w:rsid w:val="008F0C62"/>
    <w:rsid w:val="009020D4"/>
    <w:rsid w:val="009162C1"/>
    <w:rsid w:val="00922196"/>
    <w:rsid w:val="009245F3"/>
    <w:rsid w:val="00925DAD"/>
    <w:rsid w:val="009400C3"/>
    <w:rsid w:val="0094231D"/>
    <w:rsid w:val="00955046"/>
    <w:rsid w:val="00966FAE"/>
    <w:rsid w:val="00972B45"/>
    <w:rsid w:val="00980CEA"/>
    <w:rsid w:val="009B516D"/>
    <w:rsid w:val="009C2843"/>
    <w:rsid w:val="009D71CC"/>
    <w:rsid w:val="009E2212"/>
    <w:rsid w:val="009F5218"/>
    <w:rsid w:val="00A00287"/>
    <w:rsid w:val="00A00A41"/>
    <w:rsid w:val="00A0376E"/>
    <w:rsid w:val="00A136F6"/>
    <w:rsid w:val="00A15678"/>
    <w:rsid w:val="00A479F0"/>
    <w:rsid w:val="00A701CA"/>
    <w:rsid w:val="00A91E80"/>
    <w:rsid w:val="00AA39C9"/>
    <w:rsid w:val="00AA41A2"/>
    <w:rsid w:val="00AC7CB1"/>
    <w:rsid w:val="00AD113A"/>
    <w:rsid w:val="00AD26C4"/>
    <w:rsid w:val="00AD3DDC"/>
    <w:rsid w:val="00AE4420"/>
    <w:rsid w:val="00AE7FE2"/>
    <w:rsid w:val="00AF378A"/>
    <w:rsid w:val="00B130A2"/>
    <w:rsid w:val="00B22185"/>
    <w:rsid w:val="00B256CE"/>
    <w:rsid w:val="00B279D3"/>
    <w:rsid w:val="00B32F78"/>
    <w:rsid w:val="00B4013F"/>
    <w:rsid w:val="00B52DE7"/>
    <w:rsid w:val="00B57AEB"/>
    <w:rsid w:val="00B753D1"/>
    <w:rsid w:val="00B773AA"/>
    <w:rsid w:val="00B92744"/>
    <w:rsid w:val="00BA6EE8"/>
    <w:rsid w:val="00BB02D0"/>
    <w:rsid w:val="00BB2398"/>
    <w:rsid w:val="00BC6C3F"/>
    <w:rsid w:val="00BF28B1"/>
    <w:rsid w:val="00C3103A"/>
    <w:rsid w:val="00C32AD0"/>
    <w:rsid w:val="00C75D6E"/>
    <w:rsid w:val="00C764A1"/>
    <w:rsid w:val="00CB2F7F"/>
    <w:rsid w:val="00CB4197"/>
    <w:rsid w:val="00CC46A3"/>
    <w:rsid w:val="00D13C13"/>
    <w:rsid w:val="00D15496"/>
    <w:rsid w:val="00D469A8"/>
    <w:rsid w:val="00D67891"/>
    <w:rsid w:val="00DA50D8"/>
    <w:rsid w:val="00DB3F18"/>
    <w:rsid w:val="00DB67EF"/>
    <w:rsid w:val="00DC33E3"/>
    <w:rsid w:val="00DD5E0A"/>
    <w:rsid w:val="00DD7880"/>
    <w:rsid w:val="00DF0D5C"/>
    <w:rsid w:val="00DF504C"/>
    <w:rsid w:val="00E015B7"/>
    <w:rsid w:val="00E064EE"/>
    <w:rsid w:val="00E06734"/>
    <w:rsid w:val="00E11847"/>
    <w:rsid w:val="00E20DD1"/>
    <w:rsid w:val="00E225AC"/>
    <w:rsid w:val="00E24BB1"/>
    <w:rsid w:val="00E35FC2"/>
    <w:rsid w:val="00E40D08"/>
    <w:rsid w:val="00E532EF"/>
    <w:rsid w:val="00E55F95"/>
    <w:rsid w:val="00E60640"/>
    <w:rsid w:val="00E653CC"/>
    <w:rsid w:val="00E70205"/>
    <w:rsid w:val="00E83955"/>
    <w:rsid w:val="00EA4AF9"/>
    <w:rsid w:val="00EB37F7"/>
    <w:rsid w:val="00ED20A6"/>
    <w:rsid w:val="00ED4478"/>
    <w:rsid w:val="00EE3BE2"/>
    <w:rsid w:val="00EE76AB"/>
    <w:rsid w:val="00F0487B"/>
    <w:rsid w:val="00F04986"/>
    <w:rsid w:val="00F067D0"/>
    <w:rsid w:val="00F508BE"/>
    <w:rsid w:val="00F56864"/>
    <w:rsid w:val="00F705A7"/>
    <w:rsid w:val="00F71B97"/>
    <w:rsid w:val="00FA542D"/>
    <w:rsid w:val="00FB7E5D"/>
    <w:rsid w:val="00FB7F29"/>
    <w:rsid w:val="00FC56B8"/>
    <w:rsid w:val="00FD1AB9"/>
    <w:rsid w:val="00FD32CE"/>
    <w:rsid w:val="00FF2739"/>
    <w:rsid w:val="00FF3DFB"/>
    <w:rsid w:val="04A80D30"/>
    <w:rsid w:val="0CE6655D"/>
    <w:rsid w:val="11BC23DE"/>
    <w:rsid w:val="13F784AB"/>
    <w:rsid w:val="156A5AB1"/>
    <w:rsid w:val="25533ABB"/>
    <w:rsid w:val="36DF5E9F"/>
    <w:rsid w:val="45193A0F"/>
    <w:rsid w:val="59D02953"/>
    <w:rsid w:val="5C93552F"/>
    <w:rsid w:val="5E514D99"/>
    <w:rsid w:val="61D34332"/>
    <w:rsid w:val="64BD75EC"/>
    <w:rsid w:val="66D21888"/>
    <w:rsid w:val="70BA03DF"/>
    <w:rsid w:val="75530582"/>
    <w:rsid w:val="7BB92D69"/>
    <w:rsid w:val="7F176A18"/>
    <w:rsid w:val="9CED770F"/>
    <w:rsid w:val="DF481AAE"/>
    <w:rsid w:val="DFF21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next w:val="1"/>
    <w:link w:val="21"/>
    <w:semiHidden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ocument Map"/>
    <w:basedOn w:val="1"/>
    <w:link w:val="12"/>
    <w:uiPriority w:val="0"/>
    <w:rPr>
      <w:rFonts w:ascii="宋体"/>
      <w:sz w:val="18"/>
      <w:szCs w:val="18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iPriority w:val="0"/>
    <w:rPr>
      <w:sz w:val="24"/>
    </w:rPr>
  </w:style>
  <w:style w:type="character" w:styleId="10">
    <w:name w:val="page number"/>
    <w:uiPriority w:val="0"/>
  </w:style>
  <w:style w:type="character" w:customStyle="1" w:styleId="11">
    <w:name w:val="标题 1 字符"/>
    <w:link w:val="2"/>
    <w:uiPriority w:val="0"/>
    <w:rPr>
      <w:b/>
      <w:bCs/>
      <w:kern w:val="44"/>
      <w:sz w:val="44"/>
      <w:szCs w:val="44"/>
    </w:rPr>
  </w:style>
  <w:style w:type="character" w:customStyle="1" w:styleId="12">
    <w:name w:val="文档结构图 字符"/>
    <w:link w:val="4"/>
    <w:uiPriority w:val="0"/>
    <w:rPr>
      <w:rFonts w:ascii="宋体"/>
      <w:kern w:val="2"/>
      <w:sz w:val="18"/>
      <w:szCs w:val="18"/>
    </w:rPr>
  </w:style>
  <w:style w:type="paragraph" w:customStyle="1" w:styleId="13">
    <w:name w:val="(IWA) Heading"/>
    <w:basedOn w:val="2"/>
    <w:next w:val="14"/>
    <w:uiPriority w:val="0"/>
    <w:pPr>
      <w:keepLines w:val="0"/>
      <w:widowControl/>
      <w:suppressLineNumbers/>
      <w:tabs>
        <w:tab w:val="left" w:pos="414"/>
      </w:tabs>
      <w:overflowPunct w:val="0"/>
      <w:autoSpaceDE w:val="0"/>
      <w:autoSpaceDN w:val="0"/>
      <w:adjustRightInd w:val="0"/>
      <w:spacing w:before="320" w:after="120" w:line="320" w:lineRule="atLeast"/>
      <w:ind w:left="420" w:hanging="420"/>
      <w:jc w:val="left"/>
      <w:textAlignment w:val="baseline"/>
    </w:pPr>
    <w:rPr>
      <w:rFonts w:ascii="Arial" w:hAnsi="Arial" w:cs="Arial"/>
      <w:kern w:val="28"/>
      <w:sz w:val="24"/>
      <w:szCs w:val="24"/>
      <w:lang w:val="en-GB" w:eastAsia="en-US"/>
    </w:rPr>
  </w:style>
  <w:style w:type="paragraph" w:customStyle="1" w:styleId="14">
    <w:name w:val="(IWA) First paragraph"/>
    <w:basedOn w:val="1"/>
    <w:next w:val="15"/>
    <w:uiPriority w:val="0"/>
    <w:pPr>
      <w:widowControl/>
      <w:suppressLineNumbers/>
      <w:overflowPunct w:val="0"/>
      <w:autoSpaceDE w:val="0"/>
      <w:autoSpaceDN w:val="0"/>
      <w:adjustRightInd w:val="0"/>
      <w:spacing w:after="120" w:line="240" w:lineRule="atLeast"/>
      <w:textAlignment w:val="baseline"/>
    </w:pPr>
    <w:rPr>
      <w:rFonts w:ascii="Arial" w:hAnsi="Arial" w:cs="Arial"/>
      <w:kern w:val="0"/>
      <w:sz w:val="22"/>
      <w:szCs w:val="22"/>
      <w:lang w:val="en-GB" w:eastAsia="en-US"/>
    </w:rPr>
  </w:style>
  <w:style w:type="paragraph" w:customStyle="1" w:styleId="15">
    <w:name w:val="(IWA) Normal Paragraph"/>
    <w:basedOn w:val="1"/>
    <w:uiPriority w:val="0"/>
    <w:pPr>
      <w:widowControl/>
      <w:spacing w:after="120"/>
      <w:ind w:firstLine="210"/>
    </w:pPr>
    <w:rPr>
      <w:rFonts w:ascii="Arial" w:hAnsi="Arial" w:cs="Arial"/>
      <w:kern w:val="0"/>
      <w:sz w:val="22"/>
      <w:szCs w:val="22"/>
      <w:lang w:val="en-GB" w:eastAsia="en-US"/>
    </w:rPr>
  </w:style>
  <w:style w:type="paragraph" w:customStyle="1" w:styleId="16">
    <w:name w:val="Author name(s)"/>
    <w:basedOn w:val="1"/>
    <w:next w:val="1"/>
    <w:uiPriority w:val="0"/>
    <w:pPr>
      <w:widowControl/>
      <w:suppressLineNumbers/>
      <w:suppressAutoHyphens/>
      <w:overflowPunct w:val="0"/>
      <w:autoSpaceDE w:val="0"/>
      <w:autoSpaceDN w:val="0"/>
      <w:adjustRightInd w:val="0"/>
      <w:spacing w:before="240" w:after="120" w:line="240" w:lineRule="exact"/>
      <w:jc w:val="left"/>
      <w:textAlignment w:val="baseline"/>
    </w:pPr>
    <w:rPr>
      <w:rFonts w:ascii="Arial" w:hAnsi="Arial" w:cs="Arial"/>
      <w:b/>
      <w:bCs/>
      <w:kern w:val="0"/>
      <w:sz w:val="20"/>
      <w:szCs w:val="20"/>
      <w:lang w:val="en-GB" w:eastAsia="en-US"/>
    </w:rPr>
  </w:style>
  <w:style w:type="paragraph" w:customStyle="1" w:styleId="17">
    <w:name w:val="(IWA) Keyword"/>
    <w:basedOn w:val="1"/>
    <w:next w:val="2"/>
    <w:uiPriority w:val="0"/>
    <w:pPr>
      <w:widowControl/>
      <w:suppressLineNumbers/>
      <w:suppressAutoHyphens/>
      <w:overflowPunct w:val="0"/>
      <w:autoSpaceDE w:val="0"/>
      <w:autoSpaceDN w:val="0"/>
      <w:adjustRightInd w:val="0"/>
      <w:spacing w:line="220" w:lineRule="atLeast"/>
      <w:jc w:val="center"/>
      <w:textAlignment w:val="baseline"/>
    </w:pPr>
    <w:rPr>
      <w:rFonts w:ascii="Arial" w:hAnsi="Arial" w:cs="Arial"/>
      <w:kern w:val="0"/>
      <w:sz w:val="18"/>
      <w:szCs w:val="18"/>
      <w:lang w:val="en-GB" w:eastAsia="en-US"/>
    </w:rPr>
  </w:style>
  <w:style w:type="paragraph" w:customStyle="1" w:styleId="18">
    <w:name w:val="Author address"/>
    <w:basedOn w:val="1"/>
    <w:next w:val="1"/>
    <w:uiPriority w:val="0"/>
    <w:pPr>
      <w:widowControl/>
      <w:suppressLineNumbers/>
      <w:suppressAutoHyphens/>
      <w:overflowPunct w:val="0"/>
      <w:autoSpaceDE w:val="0"/>
      <w:autoSpaceDN w:val="0"/>
      <w:adjustRightInd w:val="0"/>
      <w:spacing w:line="220" w:lineRule="atLeast"/>
      <w:jc w:val="left"/>
      <w:textAlignment w:val="baseline"/>
    </w:pPr>
    <w:rPr>
      <w:rFonts w:ascii="Arial" w:hAnsi="Arial" w:cs="Arial"/>
      <w:kern w:val="0"/>
      <w:sz w:val="18"/>
      <w:szCs w:val="18"/>
      <w:lang w:val="en-GB" w:eastAsia="en-US"/>
    </w:rPr>
  </w:style>
  <w:style w:type="paragraph" w:customStyle="1" w:styleId="19">
    <w:name w:val="Plain Text1"/>
    <w:basedOn w:val="1"/>
    <w:uiPriority w:val="0"/>
    <w:rPr>
      <w:rFonts w:ascii="Calibri" w:hAnsi="Courier New" w:cs="Courier New"/>
      <w:sz w:val="24"/>
      <w:lang w:eastAsia="zh-TW"/>
    </w:rPr>
  </w:style>
  <w:style w:type="paragraph" w:customStyle="1" w:styleId="20">
    <w:name w:val="(IWA) Paper Title"/>
    <w:basedOn w:val="1"/>
    <w:uiPriority w:val="0"/>
    <w:pPr>
      <w:widowControl/>
      <w:jc w:val="center"/>
    </w:pPr>
    <w:rPr>
      <w:rFonts w:ascii="Arial" w:hAnsi="Arial" w:cs="Arial"/>
      <w:b/>
      <w:bCs/>
      <w:kern w:val="0"/>
      <w:sz w:val="28"/>
      <w:szCs w:val="28"/>
      <w:lang w:val="en-GB" w:eastAsia="en-US"/>
    </w:rPr>
  </w:style>
  <w:style w:type="character" w:customStyle="1" w:styleId="21">
    <w:name w:val="标题 3 字符"/>
    <w:basedOn w:val="9"/>
    <w:link w:val="3"/>
    <w:semiHidden/>
    <w:uiPriority w:val="0"/>
    <w:rPr>
      <w:b/>
      <w:bCs/>
      <w:kern w:val="2"/>
      <w:sz w:val="32"/>
      <w:szCs w:val="32"/>
    </w:rPr>
  </w:style>
  <w:style w:type="paragraph" w:customStyle="1" w:styleId="22">
    <w:name w:val="EndNote Bibliography Title"/>
    <w:basedOn w:val="1"/>
    <w:link w:val="23"/>
    <w:uiPriority w:val="0"/>
    <w:pPr>
      <w:jc w:val="center"/>
    </w:pPr>
    <w:rPr>
      <w:sz w:val="20"/>
    </w:rPr>
  </w:style>
  <w:style w:type="character" w:customStyle="1" w:styleId="23">
    <w:name w:val="EndNote Bibliography Title 字符"/>
    <w:basedOn w:val="9"/>
    <w:link w:val="22"/>
    <w:uiPriority w:val="0"/>
    <w:rPr>
      <w:kern w:val="2"/>
      <w:szCs w:val="24"/>
    </w:rPr>
  </w:style>
  <w:style w:type="paragraph" w:customStyle="1" w:styleId="24">
    <w:name w:val="EndNote Bibliography"/>
    <w:basedOn w:val="1"/>
    <w:link w:val="25"/>
    <w:uiPriority w:val="0"/>
    <w:rPr>
      <w:sz w:val="20"/>
    </w:rPr>
  </w:style>
  <w:style w:type="character" w:customStyle="1" w:styleId="25">
    <w:name w:val="EndNote Bibliography 字符"/>
    <w:basedOn w:val="9"/>
    <w:link w:val="24"/>
    <w:uiPriority w:val="0"/>
    <w:rPr>
      <w:kern w:val="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tiff"/><Relationship Id="rId6" Type="http://schemas.openxmlformats.org/officeDocument/2006/relationships/image" Target="media/image1.tiff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703</Words>
  <Characters>4630</Characters>
  <Lines>73</Lines>
  <Paragraphs>29</Paragraphs>
  <TotalTime>24</TotalTime>
  <ScaleCrop>false</ScaleCrop>
  <LinksUpToDate>false</LinksUpToDate>
  <CharactersWithSpaces>5304</CharactersWithSpaces>
  <Application>WPS Office_12.1.24031.24031_F1E327BC-269C-435d-A152-05C5408002CA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2026-01-13T14:09:00Z</dcterms:created>
  <dc:creator>ZXN</dc:creator>
  <cp:lastModifiedBy>Johnson</cp:lastModifiedBy>
  <dcterms:modified xsi:type="dcterms:W3CDTF">2026-01-14T17:31:15Z</dcterms:modified>
  <dc:title>Title of Extended Abstract for the IWA-NRR 2012</dc:title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2052-12.1.24031.24031</vt:lpwstr>
  </property>
  <property fmtid="{D5CDD505-2E9C-101B-9397-08002B2CF9AE}" pid="3" name="KSOTemplateDocerSaveRecord">
    <vt:lpwstr>eyJoZGlkIjoiMzE1MTY4YzQ5NWFkMTYzNTg4MTg2NzdiNWQ5YzI3NmEiLCJ1c2VySWQiOiIzNzU0Njk5OTMifQ==</vt:lpwstr>
  </property>
  <property fmtid="{D5CDD505-2E9C-101B-9397-08002B2CF9AE}" pid="4" name="ICV">
    <vt:lpwstr>EAEFA0C2563F33DBA95767696E8814AB_43</vt:lpwstr>
  </property>
</Properties>
</file>