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187A94">
      <w:pPr>
        <w:autoSpaceDE w:val="0"/>
        <w:autoSpaceDN w:val="0"/>
        <w:adjustRightInd w:val="0"/>
        <w:spacing w:line="360" w:lineRule="auto"/>
        <w:jc w:val="center"/>
        <w:rPr>
          <w:rFonts w:ascii="Helvetica" w:hAnsi="Helvetica" w:cs="Helvetica"/>
          <w:color w:val="000000"/>
          <w:kern w:val="36"/>
          <w:sz w:val="28"/>
          <w:szCs w:val="28"/>
        </w:rPr>
      </w:pPr>
      <w:r>
        <w:rPr>
          <w:rFonts w:ascii="Helvetica" w:hAnsi="Helvetica" w:cs="Helvetica"/>
          <w:color w:val="000000"/>
          <w:kern w:val="36"/>
          <w:sz w:val="28"/>
          <w:szCs w:val="28"/>
        </w:rPr>
        <w:t>Kinetic study and DFT calculation on the tetracycline abatement by peracetic acid</w:t>
      </w:r>
    </w:p>
    <w:p w14:paraId="64A833B5">
      <w:pPr>
        <w:autoSpaceDE w:val="0"/>
        <w:autoSpaceDN w:val="0"/>
        <w:adjustRightInd w:val="0"/>
        <w:spacing w:line="360" w:lineRule="auto"/>
        <w:jc w:val="center"/>
        <w:rPr>
          <w:rFonts w:ascii="Arial" w:hAnsi="Arial" w:cs="Arial"/>
          <w:kern w:val="0"/>
          <w:sz w:val="18"/>
          <w:szCs w:val="18"/>
        </w:rPr>
      </w:pPr>
      <w:r>
        <w:rPr>
          <w:rFonts w:ascii="Arial" w:hAnsi="Arial" w:eastAsia="等线" w:cs="Arial"/>
          <w:b/>
          <w:kern w:val="0"/>
          <w:sz w:val="18"/>
          <w:szCs w:val="18"/>
        </w:rPr>
        <w:t>Xiao-Dan Zhao</w:t>
      </w:r>
      <w:r>
        <w:rPr>
          <w:rFonts w:hint="eastAsia" w:ascii="Arial" w:hAnsi="Arial" w:eastAsia="等线" w:cs="Arial"/>
          <w:b/>
          <w:kern w:val="0"/>
          <w:sz w:val="18"/>
          <w:szCs w:val="18"/>
        </w:rPr>
        <w:t>*,</w:t>
      </w:r>
      <w:r>
        <w:rPr>
          <w:rFonts w:ascii="Arial" w:hAnsi="Arial" w:eastAsia="等线" w:cs="Arial"/>
          <w:b/>
          <w:kern w:val="0"/>
          <w:sz w:val="18"/>
          <w:szCs w:val="18"/>
        </w:rPr>
        <w:t xml:space="preserve"> Dan-Ying Xing</w:t>
      </w:r>
      <w:r>
        <w:rPr>
          <w:rFonts w:hint="eastAsia" w:ascii="Arial" w:hAnsi="Arial" w:eastAsia="等线" w:cs="Arial"/>
          <w:b/>
          <w:kern w:val="0"/>
          <w:sz w:val="18"/>
          <w:szCs w:val="18"/>
        </w:rPr>
        <w:t xml:space="preserve"> </w:t>
      </w:r>
    </w:p>
    <w:p w14:paraId="23D4840B">
      <w:pPr>
        <w:autoSpaceDE w:val="0"/>
        <w:autoSpaceDN w:val="0"/>
        <w:adjustRightInd w:val="0"/>
        <w:spacing w:line="360" w:lineRule="auto"/>
        <w:jc w:val="center"/>
        <w:outlineLvl w:val="0"/>
        <w:rPr>
          <w:rFonts w:ascii="Arial" w:hAnsi="Arial" w:cs="Arial"/>
          <w:kern w:val="0"/>
          <w:sz w:val="18"/>
          <w:szCs w:val="18"/>
        </w:rPr>
      </w:pPr>
      <w:r>
        <w:rPr>
          <w:rFonts w:ascii="Arial" w:hAnsi="Arial" w:eastAsia="Times New Roman" w:cs="Arial"/>
          <w:kern w:val="0"/>
          <w:sz w:val="18"/>
          <w:szCs w:val="18"/>
        </w:rPr>
        <w:t>(College of Chemical Engineering, Huaqiao University, Xiamen 361021, China</w:t>
      </w:r>
      <w:r>
        <w:rPr>
          <w:rFonts w:ascii="Arial" w:hAnsi="Arial" w:cs="Arial"/>
          <w:kern w:val="0"/>
          <w:sz w:val="18"/>
          <w:szCs w:val="18"/>
        </w:rPr>
        <w:t>)</w:t>
      </w:r>
    </w:p>
    <w:p w14:paraId="2ADA52F1">
      <w:pPr>
        <w:spacing w:line="360" w:lineRule="auto"/>
        <w:rPr>
          <w:rFonts w:hint="eastAsia" w:ascii="Arial" w:hAnsi="Arial" w:cs="Arial"/>
          <w:sz w:val="18"/>
          <w:szCs w:val="18"/>
        </w:rPr>
      </w:pPr>
      <w:r>
        <w:rPr>
          <w:rFonts w:ascii="Arial" w:hAnsi="Arial" w:cs="Arial"/>
          <w:b/>
          <w:sz w:val="18"/>
          <w:szCs w:val="18"/>
        </w:rPr>
        <w:t>Presenting Author:</w:t>
      </w:r>
      <w:r>
        <w:rPr>
          <w:rFonts w:hint="eastAsia" w:ascii="Arial" w:hAnsi="Arial" w:cs="Arial"/>
          <w:b/>
          <w:sz w:val="18"/>
          <w:szCs w:val="18"/>
        </w:rPr>
        <w:t xml:space="preserve"> </w:t>
      </w:r>
      <w:r>
        <w:rPr>
          <w:rFonts w:hint="eastAsia" w:ascii="Arial" w:hAnsi="Arial" w:cs="Arial"/>
          <w:sz w:val="18"/>
          <w:szCs w:val="18"/>
        </w:rPr>
        <w:t>Xiaodan-Zhao</w:t>
      </w:r>
    </w:p>
    <w:p w14:paraId="14ACC331">
      <w:pPr>
        <w:spacing w:line="360" w:lineRule="auto"/>
        <w:ind w:right="851"/>
        <w:outlineLvl w:val="0"/>
        <w:rPr>
          <w:rFonts w:ascii="Arial" w:hAnsi="Arial" w:eastAsia="Times New Roman" w:cs="Arial"/>
          <w:kern w:val="0"/>
          <w:sz w:val="18"/>
          <w:szCs w:val="18"/>
        </w:rPr>
      </w:pPr>
      <w:r>
        <w:rPr>
          <w:rFonts w:ascii="Arial" w:hAnsi="Arial" w:cs="Arial"/>
          <w:b/>
          <w:bCs/>
          <w:sz w:val="18"/>
          <w:szCs w:val="18"/>
        </w:rPr>
        <w:t xml:space="preserve">Keywords: </w:t>
      </w:r>
      <w:r>
        <w:rPr>
          <w:rFonts w:ascii="Arial" w:hAnsi="Arial" w:eastAsia="Times New Roman" w:cs="Arial"/>
          <w:kern w:val="0"/>
          <w:sz w:val="18"/>
          <w:szCs w:val="18"/>
        </w:rPr>
        <w:t>Peracetic acid</w:t>
      </w:r>
      <w:r>
        <w:rPr>
          <w:rFonts w:hint="eastAsia" w:ascii="Arial" w:hAnsi="Arial" w:cs="Arial" w:eastAsiaTheme="minorEastAsia"/>
          <w:kern w:val="0"/>
          <w:sz w:val="18"/>
          <w:szCs w:val="18"/>
        </w:rPr>
        <w:t xml:space="preserve">; </w:t>
      </w:r>
      <w:r>
        <w:rPr>
          <w:rFonts w:ascii="Arial" w:hAnsi="Arial" w:eastAsia="Times New Roman" w:cs="Arial"/>
          <w:kern w:val="0"/>
          <w:sz w:val="18"/>
          <w:szCs w:val="18"/>
        </w:rPr>
        <w:t>Tetracycline</w:t>
      </w:r>
      <w:r>
        <w:rPr>
          <w:rFonts w:hint="eastAsia" w:ascii="Arial" w:hAnsi="Arial" w:cs="Arial" w:eastAsiaTheme="minorEastAsia"/>
          <w:kern w:val="0"/>
          <w:sz w:val="18"/>
          <w:szCs w:val="18"/>
        </w:rPr>
        <w:t xml:space="preserve">; </w:t>
      </w:r>
      <w:r>
        <w:rPr>
          <w:rFonts w:ascii="Arial" w:hAnsi="Arial" w:eastAsia="Times New Roman" w:cs="Arial"/>
          <w:kern w:val="0"/>
          <w:sz w:val="18"/>
          <w:szCs w:val="18"/>
        </w:rPr>
        <w:t>Kinetics</w:t>
      </w:r>
      <w:r>
        <w:rPr>
          <w:rFonts w:hint="eastAsia" w:ascii="Arial" w:hAnsi="Arial" w:cs="Arial" w:eastAsiaTheme="minorEastAsia"/>
          <w:kern w:val="0"/>
          <w:sz w:val="18"/>
          <w:szCs w:val="18"/>
        </w:rPr>
        <w:t xml:space="preserve">; </w:t>
      </w:r>
      <w:r>
        <w:rPr>
          <w:rFonts w:ascii="Arial" w:hAnsi="Arial" w:eastAsia="Times New Roman" w:cs="Arial"/>
          <w:kern w:val="0"/>
          <w:sz w:val="18"/>
          <w:szCs w:val="18"/>
        </w:rPr>
        <w:t>Rate constants</w:t>
      </w:r>
      <w:bookmarkStart w:id="1" w:name="_GoBack"/>
      <w:bookmarkEnd w:id="1"/>
    </w:p>
    <w:p w14:paraId="42C8E7E5">
      <w:pPr>
        <w:spacing w:before="156" w:beforeLines="50" w:after="156" w:afterLines="50"/>
        <w:ind w:right="851"/>
        <w:outlineLvl w:val="0"/>
        <w:rPr>
          <w:rFonts w:ascii="Arial" w:hAnsi="Arial" w:cs="Arial"/>
          <w:b/>
          <w:bCs/>
          <w:sz w:val="24"/>
          <w:szCs w:val="24"/>
        </w:rPr>
      </w:pPr>
      <w:r>
        <w:rPr>
          <w:rFonts w:ascii="Arial" w:hAnsi="Arial" w:cs="Arial"/>
          <w:b/>
          <w:bCs/>
          <w:sz w:val="24"/>
          <w:szCs w:val="24"/>
        </w:rPr>
        <w:t>Introduction</w:t>
      </w:r>
    </w:p>
    <w:p w14:paraId="307525C4">
      <w:pPr>
        <w:adjustRightInd w:val="0"/>
        <w:snapToGrid w:val="0"/>
        <w:spacing w:line="360" w:lineRule="auto"/>
        <w:ind w:firstLine="210" w:firstLineChars="117"/>
        <w:rPr>
          <w:rFonts w:ascii="Arial" w:hAnsi="Arial" w:cs="Arial"/>
          <w:color w:val="000000"/>
          <w:sz w:val="18"/>
          <w:szCs w:val="18"/>
        </w:rPr>
      </w:pPr>
      <w:r>
        <w:rPr>
          <w:rFonts w:ascii="Arial" w:hAnsi="Arial" w:cs="Arial"/>
          <w:color w:val="000000"/>
          <w:sz w:val="18"/>
          <w:szCs w:val="18"/>
        </w:rPr>
        <w:t xml:space="preserve">Tetracycline antibiotics (TCs) are a class of broad-spectrum antibiotics produced by actinomycetes, the frequent detection of </w:t>
      </w:r>
      <w:r>
        <w:rPr>
          <w:rFonts w:hint="eastAsia" w:ascii="Arial" w:hAnsi="Arial" w:cs="Arial"/>
          <w:color w:val="000000"/>
          <w:sz w:val="18"/>
          <w:szCs w:val="18"/>
        </w:rPr>
        <w:t>which</w:t>
      </w:r>
      <w:r>
        <w:rPr>
          <w:rFonts w:ascii="Arial" w:hAnsi="Arial" w:cs="Arial"/>
          <w:color w:val="000000"/>
          <w:sz w:val="18"/>
          <w:szCs w:val="18"/>
        </w:rPr>
        <w:t xml:space="preserve"> in medical wastewater may lead to bacterial resistance with potential harm to ecosystems</w:t>
      </w:r>
      <w:r>
        <w:rPr>
          <w:rFonts w:hint="eastAsia" w:ascii="Arial" w:hAnsi="Arial" w:cs="Arial"/>
          <w:color w:val="000000"/>
          <w:sz w:val="18"/>
          <w:szCs w:val="18"/>
        </w:rPr>
        <w:t xml:space="preserve"> (</w:t>
      </w:r>
      <w:r>
        <w:rPr>
          <w:rFonts w:ascii="Arial" w:hAnsi="Arial" w:cs="Arial"/>
          <w:sz w:val="18"/>
          <w:szCs w:val="18"/>
        </w:rPr>
        <w:t>Duong</w:t>
      </w:r>
      <w:r>
        <w:rPr>
          <w:rFonts w:hint="eastAsia" w:ascii="Arial" w:hAnsi="Arial" w:cs="Arial"/>
          <w:sz w:val="18"/>
          <w:szCs w:val="18"/>
        </w:rPr>
        <w:t xml:space="preserve"> et al.</w:t>
      </w:r>
      <w:r>
        <w:rPr>
          <w:rFonts w:hint="eastAsia" w:ascii="Arial" w:hAnsi="Arial" w:cs="Arial"/>
          <w:color w:val="000000"/>
          <w:sz w:val="18"/>
          <w:szCs w:val="18"/>
        </w:rPr>
        <w:t>)</w:t>
      </w:r>
      <w:r>
        <w:rPr>
          <w:rFonts w:ascii="Arial" w:hAnsi="Arial" w:cs="Arial"/>
          <w:color w:val="000000"/>
          <w:sz w:val="18"/>
          <w:szCs w:val="18"/>
        </w:rPr>
        <w:t>. Therefore, it is of significance to study the effective technologies for rapid TC abatement. Peracetic acid (PAA)</w:t>
      </w:r>
      <w:r>
        <w:rPr>
          <w:rFonts w:hint="eastAsia" w:ascii="Arial" w:hAnsi="Arial" w:cs="Arial"/>
          <w:color w:val="000000"/>
          <w:sz w:val="18"/>
          <w:szCs w:val="18"/>
        </w:rPr>
        <w:t xml:space="preserve"> is a typical oxidant and</w:t>
      </w:r>
      <w:r>
        <w:rPr>
          <w:rFonts w:ascii="Arial" w:hAnsi="Arial" w:cs="Arial"/>
          <w:color w:val="000000"/>
          <w:sz w:val="18"/>
          <w:szCs w:val="18"/>
        </w:rPr>
        <w:t xml:space="preserve"> widely used in wastewater treatment, disinfection, medical, chemical and paper industries</w:t>
      </w:r>
      <w:r>
        <w:rPr>
          <w:rFonts w:hint="eastAsia" w:ascii="Arial" w:hAnsi="Arial" w:cs="Arial"/>
          <w:color w:val="000000"/>
          <w:sz w:val="18"/>
          <w:szCs w:val="18"/>
        </w:rPr>
        <w:t>(Wang et al.)</w:t>
      </w:r>
      <w:r>
        <w:rPr>
          <w:rFonts w:ascii="Arial" w:hAnsi="Arial" w:cs="Arial"/>
          <w:color w:val="000000"/>
          <w:sz w:val="18"/>
          <w:szCs w:val="18"/>
        </w:rPr>
        <w:t>. Regarding that PAA is an electrophilic reagent and TC contains several electron-rich fractions, TC is expected to exhibit considerable reactivity toward PAA. A previous study has demonstrated the reactivity between PAA and TC, yet the species-specific reactions for the reaction of PAA and TC are not clear, and the electron-donating and electron-accepting properties of the different species of TC and PAA needs to be elucidated.</w:t>
      </w:r>
    </w:p>
    <w:p w14:paraId="2E0207A9">
      <w:pPr>
        <w:adjustRightInd w:val="0"/>
        <w:snapToGrid w:val="0"/>
        <w:spacing w:line="360" w:lineRule="auto"/>
        <w:ind w:firstLine="210" w:firstLineChars="117"/>
        <w:rPr>
          <w:rFonts w:hint="eastAsia" w:ascii="Arial" w:hAnsi="Arial" w:cs="Arial"/>
          <w:color w:val="000000"/>
          <w:sz w:val="18"/>
          <w:szCs w:val="18"/>
        </w:rPr>
      </w:pPr>
      <w:r>
        <w:rPr>
          <w:rFonts w:ascii="Arial" w:hAnsi="Arial" w:cs="Arial"/>
          <w:color w:val="000000"/>
          <w:sz w:val="18"/>
          <w:szCs w:val="18"/>
        </w:rPr>
        <w:t>Therefore, the objectives of this work are: (i) To evaluate the efficacy of oxidative abatement of TC by PAA for different pH conditions</w:t>
      </w:r>
      <w:r>
        <w:rPr>
          <w:rFonts w:hint="eastAsia" w:ascii="Arial" w:hAnsi="Arial" w:cs="Arial"/>
          <w:color w:val="000000"/>
          <w:sz w:val="18"/>
          <w:szCs w:val="18"/>
        </w:rPr>
        <w:t xml:space="preserve"> and</w:t>
      </w:r>
      <w:r>
        <w:rPr>
          <w:rFonts w:ascii="Arial" w:hAnsi="Arial" w:cs="Arial"/>
          <w:color w:val="000000"/>
          <w:sz w:val="18"/>
          <w:szCs w:val="18"/>
        </w:rPr>
        <w:t xml:space="preserve"> (ii) to construct the kinetic model and calculate the species-specific reaction rate constants for the reaction between PAA with TC</w:t>
      </w:r>
      <w:r>
        <w:rPr>
          <w:rFonts w:hint="eastAsia" w:ascii="Arial" w:hAnsi="Arial" w:cs="Arial"/>
          <w:color w:val="000000"/>
          <w:sz w:val="18"/>
          <w:szCs w:val="18"/>
        </w:rPr>
        <w:t>.</w:t>
      </w:r>
    </w:p>
    <w:p w14:paraId="40B92EB8">
      <w:pPr>
        <w:spacing w:before="156" w:beforeLines="50" w:after="156" w:afterLines="50"/>
        <w:ind w:right="851"/>
        <w:outlineLvl w:val="0"/>
        <w:rPr>
          <w:rFonts w:ascii="Arial" w:hAnsi="Arial" w:cs="Arial"/>
          <w:b/>
          <w:bCs/>
          <w:sz w:val="24"/>
          <w:szCs w:val="24"/>
        </w:rPr>
      </w:pPr>
      <w:r>
        <w:rPr>
          <w:rFonts w:hint="eastAsia" w:ascii="Arial" w:hAnsi="Arial" w:cs="Arial"/>
          <w:b/>
          <w:bCs/>
          <w:sz w:val="24"/>
          <w:szCs w:val="24"/>
        </w:rPr>
        <w:t xml:space="preserve">Materials and </w:t>
      </w:r>
      <w:r>
        <w:rPr>
          <w:rFonts w:ascii="Arial" w:hAnsi="Arial" w:cs="Arial"/>
          <w:b/>
          <w:bCs/>
          <w:sz w:val="24"/>
          <w:szCs w:val="24"/>
        </w:rPr>
        <w:t>Methods</w:t>
      </w:r>
    </w:p>
    <w:p w14:paraId="1B421CD7">
      <w:pPr>
        <w:adjustRightInd w:val="0"/>
        <w:snapToGrid w:val="0"/>
        <w:spacing w:line="360" w:lineRule="auto"/>
        <w:ind w:firstLine="210" w:firstLineChars="117"/>
        <w:rPr>
          <w:rFonts w:ascii="Arial" w:hAnsi="Arial" w:cs="Arial"/>
          <w:color w:val="000000"/>
          <w:sz w:val="18"/>
          <w:szCs w:val="18"/>
        </w:rPr>
      </w:pPr>
      <w:r>
        <w:rPr>
          <w:rFonts w:hint="eastAsia" w:ascii="Arial" w:hAnsi="Arial" w:cs="Arial"/>
          <w:color w:val="000000"/>
          <w:sz w:val="18"/>
          <w:szCs w:val="18"/>
        </w:rPr>
        <w:t>T</w:t>
      </w:r>
      <w:r>
        <w:rPr>
          <w:rFonts w:ascii="Arial" w:hAnsi="Arial" w:cs="Arial"/>
          <w:color w:val="000000"/>
          <w:sz w:val="18"/>
          <w:szCs w:val="18"/>
        </w:rPr>
        <w:t>etracycline (TC, 95.0%)</w:t>
      </w:r>
      <w:r>
        <w:rPr>
          <w:rFonts w:hint="eastAsia" w:ascii="Arial" w:hAnsi="Arial" w:cs="Arial"/>
          <w:color w:val="000000"/>
          <w:sz w:val="18"/>
          <w:szCs w:val="18"/>
        </w:rPr>
        <w:t xml:space="preserve"> was</w:t>
      </w:r>
      <w:r>
        <w:rPr>
          <w:rFonts w:ascii="Arial" w:hAnsi="Arial" w:cs="Arial"/>
          <w:color w:val="000000"/>
          <w:sz w:val="18"/>
          <w:szCs w:val="18"/>
        </w:rPr>
        <w:t xml:space="preserve"> purchased from Sigma-Aldrich Co., China. H</w:t>
      </w:r>
      <w:r>
        <w:rPr>
          <w:rFonts w:ascii="Arial" w:hAnsi="Arial" w:cs="Arial"/>
          <w:color w:val="000000"/>
          <w:sz w:val="18"/>
          <w:szCs w:val="18"/>
          <w:vertAlign w:val="subscript"/>
        </w:rPr>
        <w:t>2</w:t>
      </w:r>
      <w:r>
        <w:rPr>
          <w:rFonts w:ascii="Arial" w:hAnsi="Arial" w:cs="Arial"/>
          <w:color w:val="000000"/>
          <w:sz w:val="18"/>
          <w:szCs w:val="18"/>
        </w:rPr>
        <w:t>O</w:t>
      </w:r>
      <w:r>
        <w:rPr>
          <w:rFonts w:ascii="Arial" w:hAnsi="Arial" w:cs="Arial"/>
          <w:color w:val="000000"/>
          <w:sz w:val="18"/>
          <w:szCs w:val="18"/>
          <w:vertAlign w:val="subscript"/>
        </w:rPr>
        <w:t xml:space="preserve">2 </w:t>
      </w:r>
      <w:r>
        <w:rPr>
          <w:rFonts w:ascii="Arial" w:hAnsi="Arial" w:cs="Arial"/>
          <w:color w:val="000000"/>
          <w:sz w:val="18"/>
          <w:szCs w:val="18"/>
        </w:rPr>
        <w:t>(30%) and CH</w:t>
      </w:r>
      <w:r>
        <w:rPr>
          <w:rFonts w:ascii="Arial" w:hAnsi="Arial" w:cs="Arial"/>
          <w:color w:val="000000"/>
          <w:sz w:val="18"/>
          <w:szCs w:val="18"/>
          <w:vertAlign w:val="subscript"/>
        </w:rPr>
        <w:t>3</w:t>
      </w:r>
      <w:r>
        <w:rPr>
          <w:rFonts w:ascii="Arial" w:hAnsi="Arial" w:cs="Arial"/>
          <w:color w:val="000000"/>
          <w:sz w:val="18"/>
          <w:szCs w:val="18"/>
        </w:rPr>
        <w:t>C(O)OH (purity &gt;99.0%), H</w:t>
      </w:r>
      <w:r>
        <w:rPr>
          <w:rFonts w:ascii="Arial" w:hAnsi="Arial" w:cs="Arial"/>
          <w:color w:val="000000"/>
          <w:sz w:val="18"/>
          <w:szCs w:val="18"/>
          <w:vertAlign w:val="subscript"/>
        </w:rPr>
        <w:t>2</w:t>
      </w:r>
      <w:r>
        <w:rPr>
          <w:rFonts w:ascii="Arial" w:hAnsi="Arial" w:cs="Arial"/>
          <w:color w:val="000000"/>
          <w:sz w:val="18"/>
          <w:szCs w:val="18"/>
        </w:rPr>
        <w:t>SO</w:t>
      </w:r>
      <w:r>
        <w:rPr>
          <w:rFonts w:ascii="Arial" w:hAnsi="Arial" w:cs="Arial"/>
          <w:color w:val="000000"/>
          <w:sz w:val="18"/>
          <w:szCs w:val="18"/>
          <w:vertAlign w:val="subscript"/>
        </w:rPr>
        <w:t xml:space="preserve">4 </w:t>
      </w:r>
      <w:r>
        <w:rPr>
          <w:rFonts w:ascii="Arial" w:hAnsi="Arial" w:cs="Arial"/>
          <w:color w:val="000000"/>
          <w:sz w:val="18"/>
          <w:szCs w:val="18"/>
        </w:rPr>
        <w:t>were supplied by Sinopharm Chemical Reagent Co., Ltd. (Shanghai, China). Peracetic acid (PAA) was prepared by the reaction of H</w:t>
      </w:r>
      <w:r>
        <w:rPr>
          <w:rFonts w:ascii="Arial" w:hAnsi="Arial" w:cs="Arial"/>
          <w:color w:val="000000"/>
          <w:sz w:val="18"/>
          <w:szCs w:val="18"/>
          <w:vertAlign w:val="subscript"/>
        </w:rPr>
        <w:t>2</w:t>
      </w:r>
      <w:r>
        <w:rPr>
          <w:rFonts w:ascii="Arial" w:hAnsi="Arial" w:cs="Arial"/>
          <w:color w:val="000000"/>
          <w:sz w:val="18"/>
          <w:szCs w:val="18"/>
        </w:rPr>
        <w:t>O</w:t>
      </w:r>
      <w:r>
        <w:rPr>
          <w:rFonts w:ascii="Arial" w:hAnsi="Arial" w:cs="Arial"/>
          <w:color w:val="000000"/>
          <w:sz w:val="18"/>
          <w:szCs w:val="18"/>
          <w:vertAlign w:val="subscript"/>
        </w:rPr>
        <w:t>2</w:t>
      </w:r>
      <w:r>
        <w:rPr>
          <w:rFonts w:ascii="Arial" w:hAnsi="Arial" w:cs="Arial"/>
          <w:color w:val="000000"/>
          <w:sz w:val="18"/>
          <w:szCs w:val="18"/>
        </w:rPr>
        <w:t xml:space="preserve"> and CH</w:t>
      </w:r>
      <w:r>
        <w:rPr>
          <w:rFonts w:ascii="Arial" w:hAnsi="Arial" w:cs="Arial"/>
          <w:color w:val="000000"/>
          <w:sz w:val="18"/>
          <w:szCs w:val="18"/>
          <w:vertAlign w:val="subscript"/>
        </w:rPr>
        <w:t>3</w:t>
      </w:r>
      <w:r>
        <w:rPr>
          <w:rFonts w:ascii="Arial" w:hAnsi="Arial" w:cs="Arial"/>
          <w:color w:val="000000"/>
          <w:sz w:val="18"/>
          <w:szCs w:val="18"/>
        </w:rPr>
        <w:t>C(O)OH in the presence of H</w:t>
      </w:r>
      <w:r>
        <w:rPr>
          <w:rFonts w:ascii="Arial" w:hAnsi="Arial" w:cs="Arial"/>
          <w:color w:val="000000"/>
          <w:sz w:val="18"/>
          <w:szCs w:val="18"/>
          <w:vertAlign w:val="subscript"/>
        </w:rPr>
        <w:t>2</w:t>
      </w:r>
      <w:r>
        <w:rPr>
          <w:rFonts w:ascii="Arial" w:hAnsi="Arial" w:cs="Arial"/>
          <w:color w:val="000000"/>
          <w:sz w:val="18"/>
          <w:szCs w:val="18"/>
        </w:rPr>
        <w:t>SO</w:t>
      </w:r>
      <w:r>
        <w:rPr>
          <w:rFonts w:ascii="Arial" w:hAnsi="Arial" w:cs="Arial"/>
          <w:color w:val="000000"/>
          <w:sz w:val="18"/>
          <w:szCs w:val="18"/>
          <w:vertAlign w:val="subscript"/>
        </w:rPr>
        <w:t>4</w:t>
      </w:r>
      <w:r>
        <w:rPr>
          <w:rFonts w:ascii="Arial" w:hAnsi="Arial" w:cs="Arial"/>
          <w:color w:val="000000"/>
          <w:sz w:val="18"/>
          <w:szCs w:val="18"/>
        </w:rPr>
        <w:t>.</w:t>
      </w:r>
    </w:p>
    <w:p w14:paraId="52592F55">
      <w:pPr>
        <w:spacing w:before="156" w:beforeLines="50" w:after="156" w:afterLines="50"/>
        <w:ind w:right="851"/>
        <w:outlineLvl w:val="0"/>
        <w:rPr>
          <w:rFonts w:hint="eastAsia" w:ascii="Arial" w:hAnsi="Arial" w:cs="Arial"/>
          <w:b/>
          <w:bCs/>
          <w:sz w:val="24"/>
          <w:szCs w:val="24"/>
        </w:rPr>
      </w:pPr>
      <w:r>
        <w:rPr>
          <w:rFonts w:ascii="Arial" w:hAnsi="Arial" w:cs="Arial"/>
          <w:b/>
          <w:bCs/>
          <w:sz w:val="24"/>
          <w:szCs w:val="24"/>
        </w:rPr>
        <w:t>Results</w:t>
      </w:r>
      <w:r>
        <w:rPr>
          <w:rFonts w:hint="eastAsia" w:ascii="Arial" w:hAnsi="Arial" w:cs="Arial"/>
          <w:b/>
          <w:bCs/>
          <w:sz w:val="24"/>
          <w:szCs w:val="24"/>
        </w:rPr>
        <w:t xml:space="preserve"> and Discussion</w:t>
      </w:r>
    </w:p>
    <w:p w14:paraId="7F1A4FF1">
      <w:pPr>
        <w:adjustRightInd w:val="0"/>
        <w:snapToGrid w:val="0"/>
        <w:spacing w:line="360" w:lineRule="auto"/>
        <w:ind w:firstLine="181" w:firstLineChars="100"/>
        <w:rPr>
          <w:rFonts w:ascii="Arial" w:hAnsi="Arial" w:cs="Arial"/>
          <w:color w:val="000000"/>
          <w:sz w:val="18"/>
          <w:szCs w:val="18"/>
        </w:rPr>
      </w:pPr>
      <w:r>
        <w:rPr>
          <w:rFonts w:ascii="Arial" w:hAnsi="Arial" w:cs="Arial"/>
          <w:b/>
          <w:bCs/>
          <w:color w:val="000000"/>
          <w:sz w:val="18"/>
          <w:szCs w:val="18"/>
        </w:rPr>
        <w:t>Fig</w:t>
      </w:r>
      <w:r>
        <w:rPr>
          <w:rFonts w:hint="eastAsia" w:ascii="Arial" w:hAnsi="Arial" w:cs="Arial"/>
          <w:b/>
          <w:bCs/>
          <w:color w:val="000000"/>
          <w:sz w:val="18"/>
          <w:szCs w:val="18"/>
        </w:rPr>
        <w:t>ure 1(a)</w:t>
      </w:r>
      <w:r>
        <w:rPr>
          <w:rFonts w:ascii="Arial" w:hAnsi="Arial" w:cs="Arial"/>
          <w:b/>
          <w:bCs/>
          <w:color w:val="000000"/>
          <w:sz w:val="18"/>
          <w:szCs w:val="18"/>
        </w:rPr>
        <w:t xml:space="preserve"> </w:t>
      </w:r>
      <w:r>
        <w:rPr>
          <w:rFonts w:ascii="Arial" w:hAnsi="Arial" w:cs="Arial"/>
          <w:color w:val="000000"/>
          <w:sz w:val="18"/>
          <w:szCs w:val="18"/>
        </w:rPr>
        <w:t xml:space="preserve">presents TC abatement as a function of time by PAA under </w:t>
      </w:r>
      <w:r>
        <w:rPr>
          <w:rFonts w:hint="eastAsia" w:ascii="Arial" w:hAnsi="Arial" w:cs="Arial"/>
          <w:color w:val="000000"/>
          <w:sz w:val="18"/>
          <w:szCs w:val="18"/>
        </w:rPr>
        <w:t>different pH conditions</w:t>
      </w:r>
      <w:r>
        <w:rPr>
          <w:rFonts w:ascii="Arial" w:hAnsi="Arial" w:cs="Arial"/>
          <w:color w:val="000000"/>
          <w:sz w:val="18"/>
          <w:szCs w:val="18"/>
        </w:rPr>
        <w:t>.</w:t>
      </w:r>
      <w:r>
        <w:rPr>
          <w:rFonts w:hint="eastAsia" w:ascii="Arial" w:hAnsi="Arial" w:cs="Arial"/>
          <w:color w:val="000000"/>
          <w:sz w:val="18"/>
          <w:szCs w:val="18"/>
        </w:rPr>
        <w:t xml:space="preserve"> </w:t>
      </w:r>
      <w:r>
        <w:rPr>
          <w:rFonts w:ascii="Arial" w:hAnsi="Arial" w:cs="Arial"/>
          <w:color w:val="000000"/>
          <w:sz w:val="18"/>
          <w:szCs w:val="18"/>
        </w:rPr>
        <w:t>TC abatement is monitored under different pH conditions via controlling the ratio of PAA:TC</w:t>
      </w:r>
      <w:r>
        <w:rPr>
          <w:rFonts w:hint="eastAsia" w:ascii="Arial" w:hAnsi="Arial" w:cs="Arial"/>
          <w:color w:val="000000"/>
          <w:sz w:val="18"/>
          <w:szCs w:val="18"/>
        </w:rPr>
        <w:t>.</w:t>
      </w:r>
      <w:r>
        <w:rPr>
          <w:rFonts w:ascii="Arial" w:hAnsi="Arial" w:cs="Arial"/>
          <w:color w:val="000000"/>
          <w:sz w:val="18"/>
          <w:szCs w:val="18"/>
        </w:rPr>
        <w:t xml:space="preserve"> The apparent second-order rate constants (</w:t>
      </w:r>
      <w:r>
        <w:rPr>
          <w:rFonts w:ascii="Arial" w:hAnsi="Arial" w:cs="Arial"/>
          <w:i/>
          <w:iCs/>
          <w:color w:val="000000"/>
          <w:sz w:val="18"/>
          <w:szCs w:val="18"/>
        </w:rPr>
        <w:t>k</w:t>
      </w:r>
      <w:r>
        <w:rPr>
          <w:rFonts w:ascii="Arial" w:hAnsi="Arial" w:cs="Arial"/>
          <w:color w:val="000000"/>
          <w:sz w:val="18"/>
          <w:szCs w:val="18"/>
          <w:vertAlign w:val="subscript"/>
        </w:rPr>
        <w:t>2, app</w:t>
      </w:r>
      <w:r>
        <w:rPr>
          <w:rFonts w:ascii="Arial" w:hAnsi="Arial" w:cs="Arial"/>
          <w:color w:val="000000"/>
          <w:sz w:val="18"/>
          <w:szCs w:val="18"/>
        </w:rPr>
        <w:t>) are determined in the pH range of 3.0−11.0 (</w:t>
      </w:r>
      <w:r>
        <w:rPr>
          <w:rFonts w:ascii="Arial" w:hAnsi="Arial" w:cs="Arial"/>
          <w:b/>
          <w:bCs/>
          <w:color w:val="000000"/>
          <w:sz w:val="18"/>
          <w:szCs w:val="18"/>
        </w:rPr>
        <w:t>Fig</w:t>
      </w:r>
      <w:r>
        <w:rPr>
          <w:rFonts w:hint="eastAsia" w:ascii="Arial" w:hAnsi="Arial" w:cs="Arial"/>
          <w:b/>
          <w:bCs/>
          <w:color w:val="000000"/>
          <w:sz w:val="18"/>
          <w:szCs w:val="18"/>
        </w:rPr>
        <w:t>ure</w:t>
      </w:r>
      <w:r>
        <w:rPr>
          <w:rFonts w:ascii="Arial" w:hAnsi="Arial" w:cs="Arial"/>
          <w:b/>
          <w:bCs/>
          <w:color w:val="000000"/>
          <w:sz w:val="18"/>
          <w:szCs w:val="18"/>
        </w:rPr>
        <w:t xml:space="preserve"> 1</w:t>
      </w:r>
      <w:r>
        <w:rPr>
          <w:rFonts w:hint="eastAsia" w:ascii="Arial" w:hAnsi="Arial" w:cs="Arial"/>
          <w:b/>
          <w:bCs/>
          <w:color w:val="000000"/>
          <w:sz w:val="18"/>
          <w:szCs w:val="18"/>
        </w:rPr>
        <w:t>(</w:t>
      </w:r>
      <w:r>
        <w:rPr>
          <w:rFonts w:ascii="Arial" w:hAnsi="Arial" w:cs="Arial"/>
          <w:b/>
          <w:bCs/>
          <w:color w:val="000000"/>
          <w:sz w:val="18"/>
          <w:szCs w:val="18"/>
        </w:rPr>
        <w:t>b</w:t>
      </w:r>
      <w:r>
        <w:rPr>
          <w:rFonts w:hint="eastAsia" w:ascii="Arial" w:hAnsi="Arial" w:cs="Arial"/>
          <w:b/>
          <w:bCs/>
          <w:color w:val="000000"/>
          <w:sz w:val="18"/>
          <w:szCs w:val="18"/>
        </w:rPr>
        <w:t>)</w:t>
      </w:r>
      <w:r>
        <w:rPr>
          <w:rFonts w:ascii="Arial" w:hAnsi="Arial" w:cs="Arial"/>
          <w:color w:val="000000"/>
          <w:sz w:val="18"/>
          <w:szCs w:val="18"/>
        </w:rPr>
        <w:t xml:space="preserve">). As can be seen, </w:t>
      </w:r>
      <w:bookmarkStart w:id="0" w:name="_Hlk147602499"/>
      <w:r>
        <w:rPr>
          <w:rFonts w:ascii="Arial" w:hAnsi="Arial" w:cs="Arial"/>
          <w:color w:val="000000"/>
          <w:sz w:val="18"/>
          <w:szCs w:val="18"/>
        </w:rPr>
        <w:t>TC abatement under alkaline conditions is more efficient than under acidic conditions.</w:t>
      </w:r>
      <w:bookmarkEnd w:id="0"/>
      <w:r>
        <w:rPr>
          <w:rFonts w:ascii="Arial" w:hAnsi="Arial" w:cs="Arial"/>
          <w:color w:val="000000"/>
          <w:sz w:val="18"/>
          <w:szCs w:val="18"/>
        </w:rPr>
        <w:t xml:space="preserve"> This is mainly due to the increased deprotonation of TC under alkaline conditions, where the electron density of deprotonated TC is higher than that of protonated TC, thus facilitating the attack of PAA [</w:t>
      </w:r>
      <w:r>
        <w:rPr>
          <w:rFonts w:hint="eastAsia" w:ascii="Arial" w:hAnsi="Arial" w:cs="Arial"/>
          <w:color w:val="000000"/>
          <w:sz w:val="18"/>
          <w:szCs w:val="18"/>
        </w:rPr>
        <w:t>2</w:t>
      </w:r>
      <w:r>
        <w:rPr>
          <w:rFonts w:ascii="Arial" w:hAnsi="Arial" w:cs="Arial"/>
          <w:color w:val="000000"/>
          <w:sz w:val="18"/>
          <w:szCs w:val="18"/>
        </w:rPr>
        <w:t>]. However, as the pH continue</w:t>
      </w:r>
      <w:r>
        <w:rPr>
          <w:rFonts w:hint="eastAsia" w:ascii="Arial" w:hAnsi="Arial" w:cs="Arial"/>
          <w:color w:val="000000"/>
          <w:sz w:val="18"/>
          <w:szCs w:val="18"/>
        </w:rPr>
        <w:t>s</w:t>
      </w:r>
      <w:r>
        <w:rPr>
          <w:rFonts w:ascii="Arial" w:hAnsi="Arial" w:cs="Arial"/>
          <w:color w:val="000000"/>
          <w:sz w:val="18"/>
          <w:szCs w:val="18"/>
        </w:rPr>
        <w:t xml:space="preserve"> to increase, the proportion of deprotonated PAA is the dominant species, leading to the decrease in its ability to TC oxid</w:t>
      </w:r>
      <w:r>
        <w:rPr>
          <w:rFonts w:hint="eastAsia" w:ascii="Arial" w:hAnsi="Arial" w:cs="Arial"/>
          <w:color w:val="000000"/>
          <w:sz w:val="18"/>
          <w:szCs w:val="18"/>
        </w:rPr>
        <w:t>ation.</w:t>
      </w:r>
      <w:r>
        <w:rPr>
          <w:rFonts w:ascii="Arial" w:hAnsi="Arial" w:cs="Arial"/>
          <w:color w:val="000000"/>
          <w:sz w:val="18"/>
          <w:szCs w:val="18"/>
        </w:rPr>
        <w:t xml:space="preserve"> </w:t>
      </w:r>
    </w:p>
    <w:p w14:paraId="4B8B9FA1">
      <w:pPr>
        <w:adjustRightInd w:val="0"/>
        <w:snapToGrid w:val="0"/>
        <w:spacing w:line="360" w:lineRule="auto"/>
        <w:ind w:firstLine="181" w:firstLineChars="100"/>
        <w:rPr>
          <w:rFonts w:ascii="Arial" w:hAnsi="Arial" w:cs="Arial"/>
          <w:color w:val="000000"/>
          <w:sz w:val="18"/>
          <w:szCs w:val="18"/>
        </w:rPr>
      </w:pPr>
      <w:r>
        <w:rPr>
          <w:rFonts w:hint="eastAsia" w:ascii="Arial" w:hAnsi="Arial" w:cs="Arial"/>
          <w:b/>
          <w:bCs/>
          <w:color w:val="000000"/>
          <w:sz w:val="18"/>
          <w:szCs w:val="18"/>
        </w:rPr>
        <w:t>Figure 2</w:t>
      </w:r>
      <w:r>
        <w:rPr>
          <w:rFonts w:hint="eastAsia" w:ascii="Arial" w:hAnsi="Arial" w:cs="Arial"/>
          <w:color w:val="000000"/>
          <w:sz w:val="18"/>
          <w:szCs w:val="18"/>
        </w:rPr>
        <w:t xml:space="preserve"> displays t</w:t>
      </w:r>
      <w:r>
        <w:rPr>
          <w:rFonts w:ascii="Arial" w:hAnsi="Arial" w:cs="Arial"/>
          <w:color w:val="000000"/>
          <w:sz w:val="18"/>
          <w:szCs w:val="18"/>
        </w:rPr>
        <w:t xml:space="preserve">he value of </w:t>
      </w:r>
      <w:r>
        <w:rPr>
          <w:rFonts w:hint="eastAsia" w:ascii="Arial" w:hAnsi="Arial" w:cs="Arial"/>
          <w:i/>
          <w:iCs/>
          <w:color w:val="000000"/>
          <w:sz w:val="18"/>
          <w:szCs w:val="18"/>
        </w:rPr>
        <w:t>the</w:t>
      </w:r>
      <w:r>
        <w:rPr>
          <w:rFonts w:hint="eastAsia" w:ascii="Arial" w:hAnsi="Arial" w:cs="Arial"/>
          <w:color w:val="000000"/>
          <w:sz w:val="18"/>
          <w:szCs w:val="18"/>
        </w:rPr>
        <w:t xml:space="preserve"> species-specific rate</w:t>
      </w:r>
      <w:r>
        <w:rPr>
          <w:rFonts w:ascii="Arial" w:hAnsi="Arial" w:cs="Arial"/>
          <w:color w:val="000000"/>
          <w:sz w:val="18"/>
          <w:szCs w:val="18"/>
        </w:rPr>
        <w:t xml:space="preserve"> is obtained by least squares regression of the experimental </w:t>
      </w:r>
      <w:r>
        <w:rPr>
          <w:rFonts w:ascii="Arial" w:hAnsi="Arial" w:cs="Arial"/>
          <w:i/>
          <w:iCs/>
          <w:color w:val="000000"/>
          <w:sz w:val="18"/>
          <w:szCs w:val="18"/>
        </w:rPr>
        <w:t>k</w:t>
      </w:r>
      <w:r>
        <w:rPr>
          <w:rFonts w:ascii="Arial" w:hAnsi="Arial" w:cs="Arial"/>
          <w:color w:val="000000"/>
          <w:sz w:val="18"/>
          <w:szCs w:val="18"/>
          <w:vertAlign w:val="subscript"/>
        </w:rPr>
        <w:t>2, app</w:t>
      </w:r>
      <w:r>
        <w:rPr>
          <w:rFonts w:ascii="Arial" w:hAnsi="Arial" w:cs="Arial"/>
          <w:color w:val="000000"/>
          <w:sz w:val="18"/>
          <w:szCs w:val="18"/>
        </w:rPr>
        <w:t xml:space="preserve"> </w:t>
      </w:r>
      <w:r>
        <w:rPr>
          <w:rFonts w:ascii="Arial" w:hAnsi="Arial" w:cs="Arial"/>
          <w:i/>
          <w:iCs/>
          <w:color w:val="000000"/>
          <w:sz w:val="18"/>
          <w:szCs w:val="18"/>
        </w:rPr>
        <w:t>via</w:t>
      </w:r>
      <w:r>
        <w:rPr>
          <w:rFonts w:ascii="Arial" w:hAnsi="Arial" w:cs="Arial"/>
          <w:color w:val="000000"/>
          <w:sz w:val="18"/>
          <w:szCs w:val="18"/>
        </w:rPr>
        <w:t xml:space="preserve"> the user-defined nonlinear regression equation in the Origin software</w:t>
      </w:r>
      <w:r>
        <w:rPr>
          <w:rFonts w:hint="eastAsia" w:ascii="Arial" w:hAnsi="Arial" w:cs="Arial"/>
          <w:color w:val="000000"/>
          <w:sz w:val="18"/>
          <w:szCs w:val="18"/>
        </w:rPr>
        <w:t xml:space="preserve"> based on the speciation of PAA and TC</w:t>
      </w:r>
      <w:r>
        <w:rPr>
          <w:rFonts w:ascii="Arial" w:hAnsi="Arial" w:cs="Arial"/>
          <w:color w:val="000000"/>
          <w:sz w:val="18"/>
          <w:szCs w:val="18"/>
        </w:rPr>
        <w:t xml:space="preserve">. The experimental </w:t>
      </w:r>
      <w:r>
        <w:rPr>
          <w:rFonts w:ascii="Arial" w:hAnsi="Arial" w:cs="Arial"/>
          <w:i/>
          <w:iCs/>
          <w:color w:val="000000"/>
          <w:sz w:val="18"/>
          <w:szCs w:val="18"/>
        </w:rPr>
        <w:t>k</w:t>
      </w:r>
      <w:r>
        <w:rPr>
          <w:rFonts w:ascii="Arial" w:hAnsi="Arial" w:cs="Arial"/>
          <w:color w:val="000000"/>
          <w:sz w:val="18"/>
          <w:szCs w:val="18"/>
          <w:vertAlign w:val="subscript"/>
        </w:rPr>
        <w:t>2, app</w:t>
      </w:r>
      <w:r>
        <w:rPr>
          <w:rFonts w:ascii="Arial" w:hAnsi="Arial" w:cs="Arial"/>
          <w:color w:val="000000"/>
          <w:sz w:val="18"/>
          <w:szCs w:val="18"/>
        </w:rPr>
        <w:t xml:space="preserve"> and modeled </w:t>
      </w:r>
      <w:r>
        <w:rPr>
          <w:rFonts w:ascii="Arial" w:hAnsi="Arial" w:cs="Arial"/>
          <w:i/>
          <w:iCs/>
          <w:color w:val="000000"/>
          <w:sz w:val="18"/>
          <w:szCs w:val="18"/>
        </w:rPr>
        <w:t>k</w:t>
      </w:r>
      <w:r>
        <w:rPr>
          <w:rFonts w:ascii="Arial" w:hAnsi="Arial" w:cs="Arial"/>
          <w:color w:val="000000"/>
          <w:sz w:val="18"/>
          <w:szCs w:val="18"/>
          <w:vertAlign w:val="subscript"/>
        </w:rPr>
        <w:t xml:space="preserve">2, app </w:t>
      </w:r>
      <w:r>
        <w:rPr>
          <w:rFonts w:ascii="Arial" w:hAnsi="Arial" w:cs="Arial"/>
          <w:color w:val="000000"/>
          <w:sz w:val="18"/>
          <w:szCs w:val="18"/>
        </w:rPr>
        <w:t>can be well fitted and the species-specific rate constants can be correspondingly calculated, as shown in Fig. 2d. In the fitted data, the reaction rate constant between PAA</w:t>
      </w:r>
      <w:r>
        <w:rPr>
          <w:rFonts w:ascii="Arial" w:hAnsi="Arial" w:cs="Arial"/>
          <w:color w:val="000000"/>
          <w:sz w:val="18"/>
          <w:szCs w:val="18"/>
          <w:vertAlign w:val="superscript"/>
        </w:rPr>
        <w:t>−</w:t>
      </w:r>
      <w:r>
        <w:rPr>
          <w:rFonts w:ascii="Arial" w:hAnsi="Arial" w:cs="Arial"/>
          <w:color w:val="000000"/>
          <w:sz w:val="18"/>
          <w:szCs w:val="18"/>
        </w:rPr>
        <w:t xml:space="preserve"> and TTC</w:t>
      </w:r>
      <w:r>
        <w:rPr>
          <w:rFonts w:ascii="Arial" w:hAnsi="Arial" w:cs="Arial"/>
          <w:color w:val="000000"/>
          <w:sz w:val="18"/>
          <w:szCs w:val="18"/>
          <w:vertAlign w:val="superscript"/>
        </w:rPr>
        <w:t>+</w:t>
      </w:r>
      <w:r>
        <w:rPr>
          <w:rFonts w:ascii="Arial" w:hAnsi="Arial" w:cs="Arial"/>
          <w:color w:val="000000"/>
          <w:sz w:val="18"/>
          <w:szCs w:val="18"/>
        </w:rPr>
        <w:t xml:space="preserve"> is 0. At the same time, the mole fraction of PAA</w:t>
      </w:r>
      <w:r>
        <w:rPr>
          <w:rFonts w:ascii="Arial" w:hAnsi="Arial" w:cs="Arial"/>
          <w:color w:val="000000"/>
          <w:sz w:val="18"/>
          <w:szCs w:val="18"/>
          <w:vertAlign w:val="superscript"/>
        </w:rPr>
        <w:t>−</w:t>
      </w:r>
      <w:r>
        <w:rPr>
          <w:rFonts w:ascii="Arial" w:hAnsi="Arial" w:cs="Arial"/>
          <w:color w:val="000000"/>
          <w:sz w:val="18"/>
          <w:szCs w:val="18"/>
        </w:rPr>
        <w:t xml:space="preserve"> and TTC</w:t>
      </w:r>
      <w:r>
        <w:rPr>
          <w:rFonts w:ascii="Arial" w:hAnsi="Arial" w:cs="Arial"/>
          <w:color w:val="000000"/>
          <w:sz w:val="18"/>
          <w:szCs w:val="18"/>
          <w:vertAlign w:val="superscript"/>
        </w:rPr>
        <w:t>+</w:t>
      </w:r>
      <w:r>
        <w:rPr>
          <w:rFonts w:ascii="Arial" w:hAnsi="Arial" w:cs="Arial"/>
          <w:color w:val="000000"/>
          <w:sz w:val="18"/>
          <w:szCs w:val="18"/>
        </w:rPr>
        <w:t xml:space="preserve"> is extremely low (Fig. 2c), so the reaction between PAA</w:t>
      </w:r>
      <w:r>
        <w:rPr>
          <w:rFonts w:ascii="Arial" w:hAnsi="Arial" w:cs="Arial"/>
          <w:color w:val="000000"/>
          <w:sz w:val="18"/>
          <w:szCs w:val="18"/>
          <w:vertAlign w:val="superscript"/>
        </w:rPr>
        <w:t>−</w:t>
      </w:r>
      <w:r>
        <w:rPr>
          <w:rFonts w:ascii="Arial" w:hAnsi="Arial" w:cs="Arial"/>
          <w:color w:val="000000"/>
          <w:sz w:val="18"/>
          <w:szCs w:val="18"/>
        </w:rPr>
        <w:t xml:space="preserve"> and TTC</w:t>
      </w:r>
      <w:r>
        <w:rPr>
          <w:rFonts w:ascii="Arial" w:hAnsi="Arial" w:cs="Arial"/>
          <w:color w:val="000000"/>
          <w:sz w:val="18"/>
          <w:szCs w:val="18"/>
          <w:vertAlign w:val="superscript"/>
        </w:rPr>
        <w:t>+</w:t>
      </w:r>
      <w:r>
        <w:rPr>
          <w:rFonts w:ascii="Arial" w:hAnsi="Arial" w:cs="Arial"/>
          <w:color w:val="000000"/>
          <w:sz w:val="18"/>
          <w:szCs w:val="18"/>
        </w:rPr>
        <w:t xml:space="preserve"> can be negligible in the overall reaction. The reaction of protonated PAAH to each species of TC is significantly higher than that of the deprotonated PAA</w:t>
      </w:r>
      <w:r>
        <w:rPr>
          <w:rFonts w:ascii="Arial" w:hAnsi="Arial" w:cs="Arial"/>
          <w:color w:val="000000"/>
          <w:sz w:val="18"/>
          <w:szCs w:val="18"/>
          <w:vertAlign w:val="superscript"/>
        </w:rPr>
        <w:t>−</w:t>
      </w:r>
      <w:r>
        <w:rPr>
          <w:rFonts w:ascii="Arial" w:hAnsi="Arial" w:cs="Arial"/>
          <w:color w:val="000000"/>
          <w:sz w:val="18"/>
          <w:szCs w:val="18"/>
        </w:rPr>
        <w:t>. Especially, the species-specific reaction of PAAH with TTC</w:t>
      </w:r>
      <w:r>
        <w:rPr>
          <w:rFonts w:ascii="Arial" w:hAnsi="Arial" w:cs="Arial"/>
          <w:color w:val="000000"/>
          <w:sz w:val="18"/>
          <w:szCs w:val="18"/>
          <w:vertAlign w:val="superscript"/>
        </w:rPr>
        <w:t>2−</w:t>
      </w:r>
      <w:r>
        <w:rPr>
          <w:rFonts w:ascii="Arial" w:hAnsi="Arial" w:cs="Arial"/>
          <w:color w:val="000000"/>
          <w:sz w:val="18"/>
          <w:szCs w:val="18"/>
        </w:rPr>
        <w:t xml:space="preserve"> is significantly higher than that of the other species, which mainly contributes to the reaction between PAA and TC. For different TC species, the reactivity of PAA follows an order of TTC</w:t>
      </w:r>
      <w:r>
        <w:rPr>
          <w:rFonts w:ascii="Arial" w:hAnsi="Arial" w:cs="Arial"/>
          <w:color w:val="000000"/>
          <w:sz w:val="18"/>
          <w:szCs w:val="18"/>
          <w:vertAlign w:val="superscript"/>
        </w:rPr>
        <w:t>2−</w:t>
      </w:r>
      <w:r>
        <w:rPr>
          <w:rFonts w:ascii="Arial" w:hAnsi="Arial" w:cs="Arial"/>
          <w:color w:val="000000"/>
          <w:sz w:val="18"/>
          <w:szCs w:val="18"/>
        </w:rPr>
        <w:t xml:space="preserve"> &gt; TTC</w:t>
      </w:r>
      <w:r>
        <w:rPr>
          <w:rFonts w:ascii="Arial" w:hAnsi="Arial" w:cs="Arial"/>
          <w:color w:val="000000"/>
          <w:sz w:val="18"/>
          <w:szCs w:val="18"/>
          <w:vertAlign w:val="superscript"/>
        </w:rPr>
        <w:t>−</w:t>
      </w:r>
      <w:r>
        <w:rPr>
          <w:rFonts w:ascii="Arial" w:hAnsi="Arial" w:cs="Arial"/>
          <w:color w:val="000000"/>
          <w:sz w:val="18"/>
          <w:szCs w:val="18"/>
        </w:rPr>
        <w:t xml:space="preserve"> &gt; TTC. This is mainly because the higher deprotonation of TC means the higher electron density of ring structure. Interestingly, the reactivity between PAA</w:t>
      </w:r>
      <w:r>
        <w:rPr>
          <w:rFonts w:ascii="Arial" w:hAnsi="Arial" w:cs="Arial"/>
          <w:color w:val="000000"/>
          <w:sz w:val="18"/>
          <w:szCs w:val="18"/>
          <w:vertAlign w:val="superscript"/>
        </w:rPr>
        <w:t>−</w:t>
      </w:r>
      <w:r>
        <w:rPr>
          <w:rFonts w:ascii="Arial" w:hAnsi="Arial" w:cs="Arial"/>
          <w:color w:val="000000"/>
          <w:sz w:val="18"/>
          <w:szCs w:val="18"/>
        </w:rPr>
        <w:t xml:space="preserve"> and each species of TC is opposite to PAAH. This is mainly due to the electrostatic repulsion between the negative charge of deprotonated PAA</w:t>
      </w:r>
      <w:r>
        <w:rPr>
          <w:rFonts w:ascii="Arial" w:hAnsi="Arial" w:cs="Arial"/>
          <w:color w:val="000000"/>
          <w:sz w:val="18"/>
          <w:szCs w:val="18"/>
          <w:vertAlign w:val="superscript"/>
        </w:rPr>
        <w:t>−</w:t>
      </w:r>
      <w:r>
        <w:rPr>
          <w:rFonts w:ascii="Arial" w:hAnsi="Arial" w:cs="Arial"/>
          <w:color w:val="000000"/>
          <w:sz w:val="18"/>
          <w:szCs w:val="18"/>
        </w:rPr>
        <w:t xml:space="preserve"> and that of deprotonated TC, which results in a decrease in their reactivity.</w:t>
      </w:r>
    </w:p>
    <w:p w14:paraId="0E6D8272">
      <w:pPr>
        <w:adjustRightInd w:val="0"/>
        <w:snapToGrid w:val="0"/>
        <w:spacing w:line="360" w:lineRule="auto"/>
        <w:jc w:val="center"/>
        <w:rPr>
          <w:rFonts w:ascii="Arial" w:hAnsi="Arial" w:cs="Arial"/>
          <w:color w:val="000000"/>
          <w:sz w:val="18"/>
          <w:szCs w:val="18"/>
        </w:rPr>
      </w:pPr>
      <w:r>
        <w:rPr>
          <w:rFonts w:ascii="Arial" w:hAnsi="Arial" w:cs="Arial"/>
          <w:color w:val="000000"/>
          <w:sz w:val="18"/>
          <w:szCs w:val="18"/>
        </w:rPr>
        <w:drawing>
          <wp:inline distT="0" distB="0" distL="0" distR="0">
            <wp:extent cx="3600450" cy="1476375"/>
            <wp:effectExtent l="0" t="0" r="0" b="9525"/>
            <wp:docPr id="753708670" name="图片 2" descr="图片包含 游戏机, 路&#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708670" name="图片 2" descr="图片包含 游戏机, 路&#10;&#10;AI 生成的内容可能不正确。"/>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600450" cy="1476375"/>
                    </a:xfrm>
                    <a:prstGeom prst="rect">
                      <a:avLst/>
                    </a:prstGeom>
                    <a:noFill/>
                    <a:ln>
                      <a:noFill/>
                    </a:ln>
                  </pic:spPr>
                </pic:pic>
              </a:graphicData>
            </a:graphic>
          </wp:inline>
        </w:drawing>
      </w:r>
    </w:p>
    <w:p w14:paraId="1AC339B0">
      <w:pPr>
        <w:adjustRightInd w:val="0"/>
        <w:snapToGrid w:val="0"/>
        <w:spacing w:line="360" w:lineRule="auto"/>
        <w:rPr>
          <w:rFonts w:ascii="Arial" w:hAnsi="Arial" w:cs="Arial"/>
          <w:color w:val="000000"/>
          <w:sz w:val="18"/>
          <w:szCs w:val="18"/>
        </w:rPr>
      </w:pPr>
      <w:r>
        <w:rPr>
          <w:rFonts w:ascii="Arial" w:hAnsi="Arial" w:cs="Arial"/>
          <w:b/>
          <w:bCs/>
          <w:color w:val="000000"/>
          <w:sz w:val="18"/>
          <w:szCs w:val="18"/>
        </w:rPr>
        <w:t>Fig</w:t>
      </w:r>
      <w:r>
        <w:rPr>
          <w:rFonts w:hint="eastAsia" w:ascii="Arial" w:hAnsi="Arial" w:cs="Arial"/>
          <w:b/>
          <w:bCs/>
          <w:color w:val="000000"/>
          <w:sz w:val="18"/>
          <w:szCs w:val="18"/>
        </w:rPr>
        <w:t>ure</w:t>
      </w:r>
      <w:r>
        <w:rPr>
          <w:rFonts w:ascii="Arial" w:hAnsi="Arial" w:cs="Arial"/>
          <w:b/>
          <w:bCs/>
          <w:color w:val="000000"/>
          <w:sz w:val="18"/>
          <w:szCs w:val="18"/>
        </w:rPr>
        <w:t xml:space="preserve"> 1 </w:t>
      </w:r>
      <w:r>
        <w:rPr>
          <w:rFonts w:ascii="Arial" w:hAnsi="Arial" w:cs="Arial"/>
          <w:color w:val="000000"/>
          <w:sz w:val="18"/>
          <w:szCs w:val="18"/>
        </w:rPr>
        <w:t xml:space="preserve">(a) TC oxidation abatement by PAA under different pH. (b) The </w:t>
      </w:r>
      <w:r>
        <w:rPr>
          <w:rFonts w:ascii="Arial" w:hAnsi="Arial" w:cs="Arial"/>
          <w:i/>
          <w:iCs/>
          <w:color w:val="000000"/>
          <w:sz w:val="18"/>
          <w:szCs w:val="18"/>
        </w:rPr>
        <w:t>k</w:t>
      </w:r>
      <w:r>
        <w:rPr>
          <w:rFonts w:ascii="Arial" w:hAnsi="Arial" w:cs="Arial"/>
          <w:color w:val="000000"/>
          <w:sz w:val="18"/>
          <w:szCs w:val="18"/>
          <w:vertAlign w:val="subscript"/>
        </w:rPr>
        <w:t>2,app</w:t>
      </w:r>
      <w:r>
        <w:rPr>
          <w:rFonts w:ascii="Arial" w:hAnsi="Arial" w:cs="Arial"/>
          <w:color w:val="000000"/>
          <w:sz w:val="18"/>
          <w:szCs w:val="18"/>
        </w:rPr>
        <w:t xml:space="preserve"> of TC abatement under different pH. Experimental conditions: [PAA] = 200-3000 µmol/L, [TC] = 20 µmol/L, pH 3.0-11.0. </w:t>
      </w:r>
    </w:p>
    <w:p w14:paraId="546C7A38">
      <w:pPr>
        <w:adjustRightInd w:val="0"/>
        <w:snapToGrid w:val="0"/>
        <w:spacing w:line="360" w:lineRule="auto"/>
        <w:jc w:val="center"/>
        <w:rPr>
          <w:rFonts w:ascii="Arial" w:hAnsi="Arial" w:cs="Arial"/>
          <w:color w:val="000000"/>
          <w:sz w:val="18"/>
          <w:szCs w:val="18"/>
        </w:rPr>
      </w:pPr>
      <w:r>
        <w:rPr>
          <w:rFonts w:ascii="Arial" w:hAnsi="Arial" w:cs="Arial"/>
          <w:color w:val="000000"/>
          <w:sz w:val="18"/>
          <w:szCs w:val="18"/>
        </w:rPr>
        <w:drawing>
          <wp:inline distT="0" distB="0" distL="0" distR="0">
            <wp:extent cx="3600450" cy="2724150"/>
            <wp:effectExtent l="0" t="0" r="0" b="0"/>
            <wp:docPr id="1695886527" name="图片 42" descr="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886527" name="图片 42" descr="图示&#10;&#10;AI 生成的内容可能不正确。"/>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3600450" cy="2724150"/>
                    </a:xfrm>
                    <a:prstGeom prst="rect">
                      <a:avLst/>
                    </a:prstGeom>
                    <a:noFill/>
                    <a:ln>
                      <a:noFill/>
                    </a:ln>
                  </pic:spPr>
                </pic:pic>
              </a:graphicData>
            </a:graphic>
          </wp:inline>
        </w:drawing>
      </w:r>
    </w:p>
    <w:p w14:paraId="7E262DC7">
      <w:pPr>
        <w:adjustRightInd w:val="0"/>
        <w:snapToGrid w:val="0"/>
        <w:spacing w:line="360" w:lineRule="auto"/>
        <w:ind w:firstLine="210" w:firstLineChars="117"/>
        <w:rPr>
          <w:rFonts w:ascii="Arial" w:hAnsi="Arial" w:cs="Arial"/>
          <w:color w:val="000000"/>
          <w:sz w:val="18"/>
          <w:szCs w:val="18"/>
        </w:rPr>
      </w:pPr>
      <w:r>
        <w:rPr>
          <w:rFonts w:ascii="Arial" w:hAnsi="Arial" w:cs="Arial"/>
          <w:color w:val="000000"/>
          <w:sz w:val="18"/>
          <w:szCs w:val="18"/>
        </w:rPr>
        <w:t>Fig</w:t>
      </w:r>
      <w:r>
        <w:rPr>
          <w:rFonts w:hint="eastAsia" w:ascii="Arial" w:hAnsi="Arial" w:cs="Arial"/>
          <w:color w:val="000000"/>
          <w:sz w:val="18"/>
          <w:szCs w:val="18"/>
        </w:rPr>
        <w:t>ure</w:t>
      </w:r>
      <w:r>
        <w:rPr>
          <w:rFonts w:ascii="Arial" w:hAnsi="Arial" w:cs="Arial"/>
          <w:color w:val="000000"/>
          <w:sz w:val="18"/>
          <w:szCs w:val="18"/>
        </w:rPr>
        <w:t xml:space="preserve"> 2 (a) TC speciation (b) PAA speciation. (c) Effect of pH on the PAA-TC species (βj × αi) and kinetic modeling for the k2, app of TC with PAA. (d) Species-specific reaction rate constants for PAA with TC. Experimental conditions: [PAA] = 200-3000 µmol/L, [TC] = 20 µmol/L, pH 3.0-11.0. </w:t>
      </w:r>
    </w:p>
    <w:p w14:paraId="1DD83251">
      <w:pPr>
        <w:spacing w:before="156" w:beforeLines="50" w:after="156" w:afterLines="50"/>
        <w:ind w:right="851"/>
        <w:outlineLvl w:val="0"/>
        <w:rPr>
          <w:rFonts w:ascii="Arial" w:hAnsi="Arial" w:cs="Arial"/>
          <w:b/>
          <w:bCs/>
          <w:sz w:val="24"/>
          <w:szCs w:val="24"/>
        </w:rPr>
      </w:pPr>
      <w:r>
        <w:rPr>
          <w:rFonts w:ascii="Arial" w:hAnsi="Arial" w:cs="Arial"/>
          <w:b/>
          <w:bCs/>
          <w:sz w:val="24"/>
          <w:szCs w:val="24"/>
        </w:rPr>
        <w:t>Conclusions</w:t>
      </w:r>
    </w:p>
    <w:p w14:paraId="0A0F0F4B">
      <w:pPr>
        <w:adjustRightInd w:val="0"/>
        <w:snapToGrid w:val="0"/>
        <w:spacing w:line="360" w:lineRule="auto"/>
        <w:ind w:firstLine="210" w:firstLineChars="117"/>
        <w:rPr>
          <w:rFonts w:ascii="Arial" w:hAnsi="Arial" w:cs="Arial"/>
          <w:color w:val="000000"/>
          <w:sz w:val="18"/>
          <w:szCs w:val="18"/>
        </w:rPr>
      </w:pPr>
      <w:r>
        <w:rPr>
          <w:rFonts w:ascii="Arial" w:hAnsi="Arial" w:cs="Arial"/>
          <w:color w:val="000000"/>
          <w:sz w:val="18"/>
          <w:szCs w:val="18"/>
        </w:rPr>
        <w:t xml:space="preserve">In this work, the kinetics for the reaction between TC and PAA is explored, </w:t>
      </w:r>
      <w:r>
        <w:rPr>
          <w:rFonts w:hint="eastAsia" w:ascii="Arial" w:hAnsi="Arial" w:cs="Arial"/>
          <w:color w:val="000000"/>
          <w:sz w:val="18"/>
          <w:szCs w:val="18"/>
        </w:rPr>
        <w:t>which can be significant for the application of PAA in the treatment of TC-containing wastewater</w:t>
      </w:r>
      <w:r>
        <w:rPr>
          <w:rFonts w:ascii="Arial" w:hAnsi="Arial" w:cs="Arial"/>
          <w:color w:val="000000"/>
          <w:sz w:val="18"/>
          <w:szCs w:val="18"/>
        </w:rPr>
        <w:t>.</w:t>
      </w:r>
    </w:p>
    <w:p w14:paraId="7ECA56C1">
      <w:pPr>
        <w:spacing w:before="156" w:beforeLines="50" w:after="156" w:afterLines="50"/>
        <w:ind w:right="851"/>
        <w:outlineLvl w:val="0"/>
        <w:rPr>
          <w:rFonts w:hint="eastAsia" w:ascii="Arial" w:hAnsi="Arial" w:cs="Arial"/>
          <w:b/>
          <w:bCs/>
          <w:sz w:val="24"/>
          <w:szCs w:val="24"/>
        </w:rPr>
      </w:pPr>
      <w:r>
        <w:rPr>
          <w:rFonts w:ascii="Arial" w:hAnsi="Arial" w:cs="Arial"/>
          <w:b/>
          <w:bCs/>
          <w:sz w:val="24"/>
          <w:szCs w:val="24"/>
        </w:rPr>
        <w:t>References</w:t>
      </w:r>
    </w:p>
    <w:p w14:paraId="24A76618">
      <w:pPr>
        <w:adjustRightInd w:val="0"/>
        <w:snapToGrid w:val="0"/>
        <w:ind w:left="360" w:hanging="360" w:hangingChars="200"/>
        <w:rPr>
          <w:rFonts w:hint="eastAsia" w:ascii="Arial" w:hAnsi="Arial" w:cs="Arial"/>
          <w:sz w:val="18"/>
          <w:szCs w:val="18"/>
        </w:rPr>
      </w:pPr>
      <w:r>
        <w:rPr>
          <w:rFonts w:ascii="Arial" w:hAnsi="Arial" w:cs="Arial"/>
          <w:sz w:val="18"/>
          <w:szCs w:val="18"/>
        </w:rPr>
        <w:t>Loan Thi Kim Duong, Thuy Thi Thanh Nguyen, Thuan Van Tran</w:t>
      </w:r>
      <w:r>
        <w:rPr>
          <w:rFonts w:hint="eastAsia" w:ascii="Arial" w:hAnsi="Arial" w:cs="Arial"/>
          <w:sz w:val="18"/>
          <w:szCs w:val="18"/>
        </w:rPr>
        <w:t xml:space="preserve"> et al. 2024. </w:t>
      </w:r>
      <w:r>
        <w:rPr>
          <w:rFonts w:ascii="Arial" w:hAnsi="Arial" w:cs="Arial"/>
          <w:sz w:val="18"/>
          <w:szCs w:val="18"/>
        </w:rPr>
        <w:t>Combined pollution of tetracyclines and microplastics in the aquatic environment: Insights into the occurrence, interaction mechanisms and effects,</w:t>
      </w:r>
      <w:r>
        <w:rPr>
          <w:rFonts w:hint="eastAsia" w:ascii="Arial" w:hAnsi="Arial" w:cs="Arial"/>
          <w:sz w:val="18"/>
          <w:szCs w:val="18"/>
        </w:rPr>
        <w:t xml:space="preserve"> </w:t>
      </w:r>
      <w:r>
        <w:rPr>
          <w:rFonts w:ascii="Arial" w:hAnsi="Arial" w:cs="Arial"/>
          <w:sz w:val="18"/>
          <w:szCs w:val="18"/>
        </w:rPr>
        <w:t>Environ</w:t>
      </w:r>
      <w:r>
        <w:rPr>
          <w:rFonts w:hint="eastAsia" w:ascii="Arial" w:hAnsi="Arial" w:cs="Arial"/>
          <w:sz w:val="18"/>
          <w:szCs w:val="18"/>
        </w:rPr>
        <w:t xml:space="preserve">. </w:t>
      </w:r>
      <w:r>
        <w:rPr>
          <w:rFonts w:ascii="Arial" w:hAnsi="Arial" w:cs="Arial"/>
          <w:sz w:val="18"/>
          <w:szCs w:val="18"/>
        </w:rPr>
        <w:t>Re</w:t>
      </w:r>
      <w:r>
        <w:rPr>
          <w:rFonts w:hint="eastAsia" w:ascii="Arial" w:hAnsi="Arial" w:cs="Arial"/>
          <w:sz w:val="18"/>
          <w:szCs w:val="18"/>
        </w:rPr>
        <w:t>s.</w:t>
      </w:r>
      <w:r>
        <w:rPr>
          <w:rFonts w:ascii="Arial" w:hAnsi="Arial" w:cs="Arial"/>
          <w:sz w:val="18"/>
          <w:szCs w:val="18"/>
        </w:rPr>
        <w:t xml:space="preserve"> 263, 120223</w:t>
      </w:r>
      <w:r>
        <w:rPr>
          <w:rFonts w:hint="eastAsia" w:ascii="Arial" w:hAnsi="Arial" w:cs="Arial"/>
          <w:sz w:val="18"/>
          <w:szCs w:val="18"/>
        </w:rPr>
        <w:t>.</w:t>
      </w:r>
    </w:p>
    <w:p w14:paraId="69E4F2C4">
      <w:pPr>
        <w:adjustRightInd w:val="0"/>
        <w:snapToGrid w:val="0"/>
        <w:ind w:left="360" w:hanging="360" w:hangingChars="200"/>
        <w:rPr>
          <w:rFonts w:ascii="Arial" w:hAnsi="Arial" w:cs="Arial"/>
          <w:sz w:val="18"/>
          <w:szCs w:val="18"/>
        </w:rPr>
      </w:pPr>
      <w:r>
        <w:rPr>
          <w:rFonts w:ascii="Arial" w:hAnsi="Arial" w:cs="Arial"/>
          <w:sz w:val="18"/>
          <w:szCs w:val="18"/>
        </w:rPr>
        <w:t>Zhenxin Wang, Yifan Yin</w:t>
      </w:r>
      <w:r>
        <w:rPr>
          <w:rFonts w:hint="eastAsia" w:ascii="Arial" w:hAnsi="Arial" w:cs="Arial"/>
          <w:sz w:val="18"/>
          <w:szCs w:val="18"/>
        </w:rPr>
        <w:t xml:space="preserve">, </w:t>
      </w:r>
      <w:r>
        <w:rPr>
          <w:rFonts w:ascii="Arial" w:hAnsi="Arial" w:cs="Arial"/>
          <w:sz w:val="18"/>
          <w:szCs w:val="18"/>
        </w:rPr>
        <w:t>Jiaqi Yang</w:t>
      </w:r>
      <w:r>
        <w:rPr>
          <w:rFonts w:hint="eastAsia" w:ascii="Arial" w:hAnsi="Arial" w:cs="Arial"/>
          <w:sz w:val="18"/>
          <w:szCs w:val="18"/>
        </w:rPr>
        <w:t>,</w:t>
      </w:r>
      <w:r>
        <w:rPr>
          <w:rFonts w:ascii="Arial" w:hAnsi="Arial" w:cs="Arial"/>
          <w:sz w:val="18"/>
          <w:szCs w:val="18"/>
        </w:rPr>
        <w:t xml:space="preserve"> </w:t>
      </w:r>
      <w:r>
        <w:rPr>
          <w:rFonts w:hint="eastAsia" w:ascii="Arial" w:hAnsi="Arial" w:cs="Arial"/>
          <w:sz w:val="18"/>
          <w:szCs w:val="18"/>
        </w:rPr>
        <w:t>et al</w:t>
      </w:r>
      <w:r>
        <w:rPr>
          <w:rFonts w:ascii="Arial" w:hAnsi="Arial" w:cs="Arial"/>
          <w:sz w:val="18"/>
          <w:szCs w:val="18"/>
        </w:rPr>
        <w:t>,</w:t>
      </w:r>
      <w:r>
        <w:rPr>
          <w:rFonts w:hint="eastAsia" w:ascii="Arial" w:hAnsi="Arial" w:cs="Arial"/>
          <w:sz w:val="18"/>
          <w:szCs w:val="18"/>
        </w:rPr>
        <w:t xml:space="preserve"> 2026. </w:t>
      </w:r>
      <w:r>
        <w:rPr>
          <w:rFonts w:ascii="Arial" w:hAnsi="Arial" w:cs="Arial"/>
          <w:sz w:val="18"/>
          <w:szCs w:val="18"/>
        </w:rPr>
        <w:t>Electron transfer-driven polymerization of phenolics via CuO-catalyzed peracetic acid for sustainable wastewater remediation,</w:t>
      </w:r>
      <w:r>
        <w:rPr>
          <w:rFonts w:hint="eastAsia" w:ascii="Arial" w:hAnsi="Arial" w:cs="Arial"/>
          <w:sz w:val="18"/>
          <w:szCs w:val="18"/>
        </w:rPr>
        <w:t xml:space="preserve"> </w:t>
      </w:r>
      <w:r>
        <w:rPr>
          <w:rFonts w:ascii="Arial" w:hAnsi="Arial" w:cs="Arial"/>
          <w:sz w:val="18"/>
          <w:szCs w:val="18"/>
        </w:rPr>
        <w:t>J</w:t>
      </w:r>
      <w:r>
        <w:rPr>
          <w:rFonts w:hint="eastAsia" w:ascii="Arial" w:hAnsi="Arial" w:cs="Arial"/>
          <w:sz w:val="18"/>
          <w:szCs w:val="18"/>
        </w:rPr>
        <w:t>.</w:t>
      </w:r>
      <w:r>
        <w:rPr>
          <w:rFonts w:ascii="Arial" w:hAnsi="Arial" w:cs="Arial"/>
          <w:sz w:val="18"/>
          <w:szCs w:val="18"/>
        </w:rPr>
        <w:t xml:space="preserve"> Hazard</w:t>
      </w:r>
      <w:r>
        <w:rPr>
          <w:rFonts w:hint="eastAsia" w:ascii="Arial" w:hAnsi="Arial" w:cs="Arial"/>
          <w:sz w:val="18"/>
          <w:szCs w:val="18"/>
        </w:rPr>
        <w:t>.</w:t>
      </w:r>
      <w:r>
        <w:rPr>
          <w:rFonts w:ascii="Arial" w:hAnsi="Arial" w:cs="Arial"/>
          <w:sz w:val="18"/>
          <w:szCs w:val="18"/>
        </w:rPr>
        <w:t xml:space="preserve"> Mater</w:t>
      </w:r>
      <w:r>
        <w:rPr>
          <w:rFonts w:hint="eastAsia" w:ascii="Arial" w:hAnsi="Arial" w:cs="Arial"/>
          <w:sz w:val="18"/>
          <w:szCs w:val="18"/>
        </w:rPr>
        <w:t xml:space="preserve">. </w:t>
      </w:r>
      <w:r>
        <w:rPr>
          <w:rFonts w:ascii="Arial" w:hAnsi="Arial" w:cs="Arial"/>
          <w:sz w:val="18"/>
          <w:szCs w:val="18"/>
        </w:rPr>
        <w:t>501,140680</w:t>
      </w:r>
      <w:r>
        <w:rPr>
          <w:rFonts w:hint="eastAsia" w:ascii="Arial" w:hAnsi="Arial" w:cs="Arial"/>
          <w:sz w:val="18"/>
          <w:szCs w:val="18"/>
        </w:rPr>
        <w:t>.</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Helvetica">
    <w:altName w:val="Arial"/>
    <w:panose1 w:val="020B0604020202020204"/>
    <w:charset w:val="00"/>
    <w:family w:val="swiss"/>
    <w:pitch w:val="default"/>
    <w:sig w:usb0="00000000" w:usb1="00000000" w:usb2="00000000" w:usb3="00000000" w:csb0="00000001" w:csb1="00000000"/>
  </w:font>
  <w:font w:name="Arial">
    <w:panose1 w:val="020B0604020202020204"/>
    <w:charset w:val="00"/>
    <w:family w:val="swiss"/>
    <w:pitch w:val="default"/>
    <w:sig w:usb0="E0002EFF" w:usb1="C000785B"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7080"/>
    <w:rsid w:val="00037689"/>
    <w:rsid w:val="001006F4"/>
    <w:rsid w:val="001A39BD"/>
    <w:rsid w:val="002A2A10"/>
    <w:rsid w:val="00444396"/>
    <w:rsid w:val="00606952"/>
    <w:rsid w:val="00714789"/>
    <w:rsid w:val="0072010F"/>
    <w:rsid w:val="007E2906"/>
    <w:rsid w:val="00927080"/>
    <w:rsid w:val="00B82A58"/>
    <w:rsid w:val="00C5557F"/>
    <w:rsid w:val="00D11A59"/>
    <w:rsid w:val="283663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line="240" w:lineRule="auto"/>
      <w:jc w:val="both"/>
    </w:pPr>
    <w:rPr>
      <w:rFonts w:ascii="Times New Roman" w:hAnsi="Times New Roman" w:eastAsia="宋体" w:cs="Times New Roman"/>
      <w:kern w:val="2"/>
      <w:sz w:val="21"/>
      <w:szCs w:val="21"/>
      <w:lang w:val="en-US" w:eastAsia="zh-CN" w:bidi="ar-SA"/>
      <w14:ligatures w14:val="none"/>
    </w:rPr>
  </w:style>
  <w:style w:type="paragraph" w:styleId="2">
    <w:name w:val="heading 1"/>
    <w:basedOn w:val="1"/>
    <w:next w:val="1"/>
    <w:link w:val="17"/>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18"/>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19"/>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0"/>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1"/>
    <w:semiHidden/>
    <w:unhideWhenUsed/>
    <w:qFormat/>
    <w:uiPriority w:val="9"/>
    <w:pPr>
      <w:keepNext/>
      <w:keepLines/>
      <w:spacing w:before="80" w:after="40"/>
      <w:outlineLvl w:val="4"/>
    </w:pPr>
    <w:rPr>
      <w:rFonts w:cstheme="majorBidi"/>
      <w:color w:val="104862" w:themeColor="accent1" w:themeShade="BF"/>
      <w:sz w:val="24"/>
    </w:rPr>
  </w:style>
  <w:style w:type="paragraph" w:styleId="7">
    <w:name w:val="heading 6"/>
    <w:basedOn w:val="1"/>
    <w:next w:val="1"/>
    <w:link w:val="22"/>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23"/>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4"/>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5"/>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6">
    <w:name w:val="Default Paragraph Font"/>
    <w:unhideWhenUsed/>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11">
    <w:name w:val="footer"/>
    <w:basedOn w:val="1"/>
    <w:link w:val="36"/>
    <w:unhideWhenUsed/>
    <w:uiPriority w:val="99"/>
    <w:pPr>
      <w:tabs>
        <w:tab w:val="center" w:pos="4153"/>
        <w:tab w:val="right" w:pos="8306"/>
      </w:tabs>
      <w:snapToGrid w:val="0"/>
    </w:pPr>
    <w:rPr>
      <w:sz w:val="18"/>
      <w:szCs w:val="18"/>
    </w:rPr>
  </w:style>
  <w:style w:type="paragraph" w:styleId="12">
    <w:name w:val="header"/>
    <w:basedOn w:val="1"/>
    <w:link w:val="35"/>
    <w:unhideWhenUsed/>
    <w:qFormat/>
    <w:uiPriority w:val="99"/>
    <w:pPr>
      <w:tabs>
        <w:tab w:val="center" w:pos="4153"/>
        <w:tab w:val="right" w:pos="8306"/>
      </w:tabs>
      <w:snapToGrid w:val="0"/>
      <w:jc w:val="center"/>
    </w:pPr>
    <w:rPr>
      <w:sz w:val="18"/>
      <w:szCs w:val="18"/>
    </w:rPr>
  </w:style>
  <w:style w:type="paragraph" w:styleId="13">
    <w:name w:val="Subtitle"/>
    <w:basedOn w:val="1"/>
    <w:next w:val="1"/>
    <w:link w:val="27"/>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Title"/>
    <w:basedOn w:val="1"/>
    <w:next w:val="1"/>
    <w:link w:val="26"/>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customStyle="1" w:styleId="17">
    <w:name w:val="标题 1 字符"/>
    <w:basedOn w:val="16"/>
    <w:link w:val="2"/>
    <w:uiPriority w:val="9"/>
    <w:rPr>
      <w:rFonts w:asciiTheme="majorHAnsi" w:hAnsiTheme="majorHAnsi" w:eastAsiaTheme="majorEastAsia" w:cstheme="majorBidi"/>
      <w:color w:val="104862" w:themeColor="accent1" w:themeShade="BF"/>
      <w:sz w:val="48"/>
      <w:szCs w:val="48"/>
    </w:rPr>
  </w:style>
  <w:style w:type="character" w:customStyle="1" w:styleId="18">
    <w:name w:val="标题 2 字符"/>
    <w:basedOn w:val="16"/>
    <w:link w:val="3"/>
    <w:semiHidden/>
    <w:uiPriority w:val="9"/>
    <w:rPr>
      <w:rFonts w:asciiTheme="majorHAnsi" w:hAnsiTheme="majorHAnsi" w:eastAsiaTheme="majorEastAsia" w:cstheme="majorBidi"/>
      <w:color w:val="104862" w:themeColor="accent1" w:themeShade="BF"/>
      <w:sz w:val="40"/>
      <w:szCs w:val="40"/>
    </w:rPr>
  </w:style>
  <w:style w:type="character" w:customStyle="1" w:styleId="19">
    <w:name w:val="标题 3 字符"/>
    <w:basedOn w:val="16"/>
    <w:link w:val="4"/>
    <w:semiHidden/>
    <w:uiPriority w:val="9"/>
    <w:rPr>
      <w:rFonts w:asciiTheme="majorHAnsi" w:hAnsiTheme="majorHAnsi" w:eastAsiaTheme="majorEastAsia" w:cstheme="majorBidi"/>
      <w:color w:val="104862" w:themeColor="accent1" w:themeShade="BF"/>
      <w:sz w:val="32"/>
      <w:szCs w:val="32"/>
    </w:rPr>
  </w:style>
  <w:style w:type="character" w:customStyle="1" w:styleId="20">
    <w:name w:val="标题 4 字符"/>
    <w:basedOn w:val="16"/>
    <w:link w:val="5"/>
    <w:semiHidden/>
    <w:uiPriority w:val="9"/>
    <w:rPr>
      <w:rFonts w:cstheme="majorBidi"/>
      <w:color w:val="104862" w:themeColor="accent1" w:themeShade="BF"/>
      <w:sz w:val="28"/>
      <w:szCs w:val="28"/>
    </w:rPr>
  </w:style>
  <w:style w:type="character" w:customStyle="1" w:styleId="21">
    <w:name w:val="标题 5 字符"/>
    <w:basedOn w:val="16"/>
    <w:link w:val="6"/>
    <w:semiHidden/>
    <w:uiPriority w:val="9"/>
    <w:rPr>
      <w:rFonts w:cstheme="majorBidi"/>
      <w:color w:val="104862" w:themeColor="accent1" w:themeShade="BF"/>
      <w:sz w:val="24"/>
    </w:rPr>
  </w:style>
  <w:style w:type="character" w:customStyle="1" w:styleId="22">
    <w:name w:val="标题 6 字符"/>
    <w:basedOn w:val="16"/>
    <w:link w:val="7"/>
    <w:semiHidden/>
    <w:uiPriority w:val="9"/>
    <w:rPr>
      <w:rFonts w:cstheme="majorBidi"/>
      <w:b/>
      <w:bCs/>
      <w:color w:val="104862" w:themeColor="accent1" w:themeShade="BF"/>
    </w:rPr>
  </w:style>
  <w:style w:type="character" w:customStyle="1" w:styleId="23">
    <w:name w:val="标题 7 字符"/>
    <w:basedOn w:val="16"/>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4">
    <w:name w:val="标题 8 字符"/>
    <w:basedOn w:val="16"/>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5">
    <w:name w:val="标题 9 字符"/>
    <w:basedOn w:val="16"/>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6">
    <w:name w:val="标题 字符"/>
    <w:basedOn w:val="16"/>
    <w:link w:val="14"/>
    <w:qFormat/>
    <w:uiPriority w:val="10"/>
    <w:rPr>
      <w:rFonts w:asciiTheme="majorHAnsi" w:hAnsiTheme="majorHAnsi" w:eastAsiaTheme="majorEastAsia" w:cstheme="majorBidi"/>
      <w:spacing w:val="-10"/>
      <w:kern w:val="28"/>
      <w:sz w:val="56"/>
      <w:szCs w:val="56"/>
    </w:rPr>
  </w:style>
  <w:style w:type="character" w:customStyle="1" w:styleId="27">
    <w:name w:val="副标题 字符"/>
    <w:basedOn w:val="16"/>
    <w:link w:val="13"/>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8">
    <w:name w:val="Quote"/>
    <w:basedOn w:val="1"/>
    <w:next w:val="1"/>
    <w:link w:val="29"/>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9">
    <w:name w:val="引用 字符"/>
    <w:basedOn w:val="16"/>
    <w:link w:val="28"/>
    <w:qFormat/>
    <w:uiPriority w:val="29"/>
    <w:rPr>
      <w:i/>
      <w:iCs/>
      <w:color w:val="404040" w:themeColor="text1" w:themeTint="BF"/>
      <w14:textFill>
        <w14:solidFill>
          <w14:schemeClr w14:val="tx1">
            <w14:lumMod w14:val="75000"/>
            <w14:lumOff w14:val="25000"/>
          </w14:schemeClr>
        </w14:solidFill>
      </w14:textFill>
    </w:rPr>
  </w:style>
  <w:style w:type="paragraph" w:styleId="30">
    <w:name w:val="List Paragraph"/>
    <w:basedOn w:val="1"/>
    <w:qFormat/>
    <w:uiPriority w:val="34"/>
    <w:pPr>
      <w:ind w:left="720"/>
      <w:contextualSpacing/>
    </w:pPr>
  </w:style>
  <w:style w:type="character" w:customStyle="1" w:styleId="31">
    <w:name w:val="Intense Emphasis"/>
    <w:basedOn w:val="16"/>
    <w:qFormat/>
    <w:uiPriority w:val="21"/>
    <w:rPr>
      <w:i/>
      <w:iCs/>
      <w:color w:val="104862" w:themeColor="accent1" w:themeShade="BF"/>
    </w:rPr>
  </w:style>
  <w:style w:type="paragraph" w:styleId="32">
    <w:name w:val="Intense Quote"/>
    <w:basedOn w:val="1"/>
    <w:next w:val="1"/>
    <w:link w:val="33"/>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3">
    <w:name w:val="明显引用 字符"/>
    <w:basedOn w:val="16"/>
    <w:link w:val="32"/>
    <w:qFormat/>
    <w:uiPriority w:val="30"/>
    <w:rPr>
      <w:i/>
      <w:iCs/>
      <w:color w:val="104862" w:themeColor="accent1" w:themeShade="BF"/>
    </w:rPr>
  </w:style>
  <w:style w:type="character" w:customStyle="1" w:styleId="34">
    <w:name w:val="Intense Reference"/>
    <w:basedOn w:val="16"/>
    <w:qFormat/>
    <w:uiPriority w:val="32"/>
    <w:rPr>
      <w:b/>
      <w:bCs/>
      <w:smallCaps/>
      <w:color w:val="104862" w:themeColor="accent1" w:themeShade="BF"/>
      <w:spacing w:val="5"/>
    </w:rPr>
  </w:style>
  <w:style w:type="character" w:customStyle="1" w:styleId="35">
    <w:name w:val="页眉 字符"/>
    <w:basedOn w:val="16"/>
    <w:link w:val="12"/>
    <w:uiPriority w:val="99"/>
    <w:rPr>
      <w:sz w:val="18"/>
      <w:szCs w:val="18"/>
    </w:rPr>
  </w:style>
  <w:style w:type="character" w:customStyle="1" w:styleId="36">
    <w:name w:val="页脚 字符"/>
    <w:basedOn w:val="16"/>
    <w:link w:val="11"/>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Template>Normal</Template>
  <Pages>3</Pages>
  <Words>793</Words>
  <Characters>4328</Characters>
  <Lines>36</Lines>
  <Paragraphs>10</Paragraphs>
  <TotalTime>65</TotalTime>
  <ScaleCrop>false</ScaleCrop>
  <LinksUpToDate>false</LinksUpToDate>
  <CharactersWithSpaces>5105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2026-01-13T01:48:00Z</dcterms:created>
  <dc:creator>dan ZHAO</dc:creator>
  <cp:lastModifiedBy>HP</cp:lastModifiedBy>
  <dcterms:modified xsi:type="dcterms:W3CDTF">2026-01-13T02:56:22Z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eyJoZGlkIjoiODkzYjA3MzJiYTRhZWY0YjljYTkzNzY0YjhmM2MyMjkifQ==</vt:lpwstr>
  </property>
  <property fmtid="{D5CDD505-2E9C-101B-9397-08002B2CF9AE}" pid="3" name="KSOProductBuildVer">
    <vt:lpwstr>2052-12.1.0.19302</vt:lpwstr>
  </property>
  <property fmtid="{D5CDD505-2E9C-101B-9397-08002B2CF9AE}" pid="4" name="ICV">
    <vt:lpwstr>97A4B7BAA5AC4CB7BB2EB21B603B98A5_12</vt:lpwstr>
  </property>
</Properties>
</file>